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cs="仿宋_GB2312"/>
          <w:sz w:val="32"/>
          <w:szCs w:val="32"/>
        </w:rPr>
      </w:pPr>
      <w:r>
        <w:rPr>
          <w:rFonts w:hint="eastAsia" w:ascii="仿宋" w:hAnsi="仿宋" w:eastAsia="仿宋" w:cs="宋体"/>
          <w:bCs/>
          <w:kern w:val="0"/>
          <w:sz w:val="32"/>
          <w:szCs w:val="32"/>
        </w:rPr>
        <w:t>附件2</w:t>
      </w:r>
    </w:p>
    <w:p>
      <w:pPr>
        <w:jc w:val="center"/>
        <w:rPr>
          <w:rFonts w:ascii="宋体" w:hAnsi="宋体" w:eastAsia="宋体"/>
          <w:b/>
          <w:sz w:val="32"/>
          <w:szCs w:val="32"/>
        </w:rPr>
      </w:pPr>
      <w:r>
        <w:rPr>
          <w:rFonts w:hint="eastAsia" w:ascii="宋体" w:hAnsi="宋体" w:eastAsia="宋体" w:cs="宋体"/>
          <w:b/>
          <w:kern w:val="0"/>
          <w:sz w:val="32"/>
          <w:szCs w:val="32"/>
        </w:rPr>
        <w:t>山东体育学院教师师德考核指标</w:t>
      </w:r>
    </w:p>
    <w:tbl>
      <w:tblPr>
        <w:tblStyle w:val="6"/>
        <w:tblW w:w="8894" w:type="dxa"/>
        <w:jc w:val="center"/>
        <w:tblInd w:w="0" w:type="dxa"/>
        <w:tblLayout w:type="fixed"/>
        <w:tblCellMar>
          <w:top w:w="0" w:type="dxa"/>
          <w:left w:w="108" w:type="dxa"/>
          <w:bottom w:w="0" w:type="dxa"/>
          <w:right w:w="108" w:type="dxa"/>
        </w:tblCellMar>
      </w:tblPr>
      <w:tblGrid>
        <w:gridCol w:w="825"/>
        <w:gridCol w:w="8069"/>
      </w:tblGrid>
      <w:tr>
        <w:tblPrEx>
          <w:tblLayout w:type="fixed"/>
          <w:tblCellMar>
            <w:top w:w="0" w:type="dxa"/>
            <w:left w:w="108" w:type="dxa"/>
            <w:bottom w:w="0" w:type="dxa"/>
            <w:right w:w="108" w:type="dxa"/>
          </w:tblCellMar>
        </w:tblPrEx>
        <w:trPr>
          <w:trHeight w:val="690" w:hRule="atLeast"/>
          <w:jc w:val="center"/>
        </w:trPr>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一级</w:t>
            </w:r>
          </w:p>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指标</w:t>
            </w:r>
          </w:p>
        </w:tc>
        <w:tc>
          <w:tcPr>
            <w:tcW w:w="80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二级指标</w:t>
            </w:r>
          </w:p>
        </w:tc>
      </w:tr>
      <w:tr>
        <w:tblPrEx>
          <w:tblLayout w:type="fixed"/>
          <w:tblCellMar>
            <w:top w:w="0" w:type="dxa"/>
            <w:left w:w="108" w:type="dxa"/>
            <w:bottom w:w="0" w:type="dxa"/>
            <w:right w:w="108" w:type="dxa"/>
          </w:tblCellMar>
        </w:tblPrEx>
        <w:trPr>
          <w:trHeight w:val="1751" w:hRule="atLeast"/>
          <w:jc w:val="center"/>
        </w:trPr>
        <w:tc>
          <w:tcPr>
            <w:tcW w:w="825" w:type="dxa"/>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仿宋_GB2312"/>
                <w:kern w:val="0"/>
                <w:szCs w:val="21"/>
              </w:rPr>
            </w:pPr>
            <w:r>
              <w:rPr>
                <w:rFonts w:hint="eastAsia" w:ascii="仿宋" w:hAnsi="仿宋" w:eastAsia="仿宋" w:cs="仿宋_GB2312"/>
                <w:kern w:val="0"/>
                <w:szCs w:val="21"/>
              </w:rPr>
              <w:t>爱国守法</w:t>
            </w:r>
          </w:p>
        </w:tc>
        <w:tc>
          <w:tcPr>
            <w:tcW w:w="8069" w:type="dxa"/>
            <w:tcBorders>
              <w:top w:val="nil"/>
              <w:left w:val="nil"/>
              <w:bottom w:val="single" w:color="auto" w:sz="4" w:space="0"/>
              <w:right w:val="single" w:color="auto" w:sz="4" w:space="0"/>
            </w:tcBorders>
            <w:shd w:val="clear" w:color="auto" w:fill="auto"/>
            <w:vAlign w:val="center"/>
          </w:tcPr>
          <w:p>
            <w:pPr>
              <w:spacing w:line="400" w:lineRule="exact"/>
              <w:ind w:left="105" w:leftChars="50" w:right="105" w:rightChars="50" w:firstLine="420" w:firstLineChars="200"/>
              <w:rPr>
                <w:rFonts w:ascii="仿宋" w:hAnsi="仿宋" w:eastAsia="仿宋" w:cs="仿宋_GB2312"/>
                <w:szCs w:val="21"/>
              </w:rPr>
            </w:pPr>
            <w:r>
              <w:rPr>
                <w:rFonts w:hint="eastAsia" w:ascii="仿宋" w:hAnsi="仿宋" w:eastAsia="仿宋" w:cs="仿宋_GB2312"/>
                <w:kern w:val="0"/>
                <w:szCs w:val="21"/>
              </w:rPr>
              <w:t>热爱祖国，热爱人民，拥护中国共产党领导，</w:t>
            </w:r>
            <w:r>
              <w:rPr>
                <w:rFonts w:hint="eastAsia" w:ascii="仿宋" w:hAnsi="仿宋" w:eastAsia="仿宋" w:cs="仿宋_GB2312"/>
                <w:szCs w:val="21"/>
              </w:rPr>
              <w:t>拥护中国特色社会主义制度，始终与党和国家的路线方针政策保持高度一致。自觉践行社会主义核心价值体系，</w:t>
            </w:r>
            <w:r>
              <w:rPr>
                <w:rFonts w:hint="eastAsia" w:ascii="仿宋" w:hAnsi="仿宋" w:eastAsia="仿宋" w:cs="仿宋_GB2312"/>
                <w:bCs/>
                <w:szCs w:val="21"/>
              </w:rPr>
              <w:t>不得有损害国家和民族利益的言行</w:t>
            </w:r>
            <w:r>
              <w:rPr>
                <w:rFonts w:hint="eastAsia" w:ascii="仿宋" w:hAnsi="仿宋" w:eastAsia="仿宋" w:cs="仿宋_GB2312"/>
                <w:szCs w:val="21"/>
              </w:rPr>
              <w:t>。严格遵守国家的法律法规，自觉遵守《山东体育学院章程》和各项规章制度。全面贯彻党和国家的教育方针，依法履行教师职责。</w:t>
            </w:r>
            <w:r>
              <w:rPr>
                <w:rFonts w:hint="eastAsia" w:ascii="仿宋" w:hAnsi="仿宋" w:eastAsia="仿宋" w:cs="仿宋_GB2312"/>
                <w:bCs/>
                <w:szCs w:val="21"/>
              </w:rPr>
              <w:t>不得有违背党的路线方针政策和不利于学生健康成长的言行</w:t>
            </w:r>
            <w:r>
              <w:rPr>
                <w:rFonts w:hint="eastAsia" w:ascii="仿宋" w:hAnsi="仿宋" w:eastAsia="仿宋" w:cs="仿宋_GB2312"/>
                <w:szCs w:val="21"/>
              </w:rPr>
              <w:t>。</w:t>
            </w:r>
          </w:p>
        </w:tc>
      </w:tr>
      <w:tr>
        <w:tblPrEx>
          <w:tblLayout w:type="fixed"/>
          <w:tblCellMar>
            <w:top w:w="0" w:type="dxa"/>
            <w:left w:w="108" w:type="dxa"/>
            <w:bottom w:w="0" w:type="dxa"/>
            <w:right w:w="108" w:type="dxa"/>
          </w:tblCellMar>
        </w:tblPrEx>
        <w:trPr>
          <w:trHeight w:val="1280" w:hRule="atLeast"/>
          <w:jc w:val="center"/>
        </w:trPr>
        <w:tc>
          <w:tcPr>
            <w:tcW w:w="825" w:type="dxa"/>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仿宋_GB2312"/>
                <w:kern w:val="0"/>
                <w:szCs w:val="21"/>
              </w:rPr>
            </w:pPr>
            <w:r>
              <w:rPr>
                <w:rFonts w:hint="eastAsia" w:ascii="仿宋" w:hAnsi="仿宋" w:eastAsia="仿宋" w:cs="仿宋_GB2312"/>
                <w:kern w:val="0"/>
                <w:szCs w:val="21"/>
              </w:rPr>
              <w:t>敬业爱生</w:t>
            </w:r>
          </w:p>
        </w:tc>
        <w:tc>
          <w:tcPr>
            <w:tcW w:w="8069" w:type="dxa"/>
            <w:tcBorders>
              <w:top w:val="nil"/>
              <w:left w:val="nil"/>
              <w:bottom w:val="single" w:color="auto" w:sz="4" w:space="0"/>
              <w:right w:val="single" w:color="auto" w:sz="4" w:space="0"/>
            </w:tcBorders>
            <w:shd w:val="clear" w:color="auto" w:fill="auto"/>
            <w:vAlign w:val="center"/>
          </w:tcPr>
          <w:p>
            <w:pPr>
              <w:spacing w:line="400" w:lineRule="exact"/>
              <w:ind w:left="105" w:leftChars="50" w:right="105" w:rightChars="50" w:firstLine="420" w:firstLineChars="200"/>
              <w:rPr>
                <w:rFonts w:ascii="仿宋" w:hAnsi="仿宋" w:eastAsia="仿宋" w:cs="仿宋_GB2312"/>
                <w:bCs/>
                <w:szCs w:val="21"/>
              </w:rPr>
            </w:pPr>
            <w:r>
              <w:rPr>
                <w:rFonts w:hint="eastAsia" w:ascii="仿宋" w:hAnsi="仿宋" w:eastAsia="仿宋" w:cs="仿宋_GB2312"/>
                <w:szCs w:val="21"/>
              </w:rPr>
              <w:t>忠诚人民教育事业，树立崇高职业理想。恪尽职守，甘于奉献，</w:t>
            </w:r>
            <w:r>
              <w:rPr>
                <w:rFonts w:hint="eastAsia" w:ascii="仿宋" w:hAnsi="仿宋" w:eastAsia="仿宋" w:cs="仿宋_GB2312"/>
                <w:bCs/>
                <w:szCs w:val="21"/>
              </w:rPr>
              <w:t>不得损害学校的合法权益</w:t>
            </w:r>
            <w:r>
              <w:rPr>
                <w:rFonts w:hint="eastAsia" w:ascii="仿宋" w:hAnsi="仿宋" w:eastAsia="仿宋" w:cs="仿宋_GB2312"/>
                <w:szCs w:val="21"/>
              </w:rPr>
              <w:t>。终身学习，刻苦钻研，努力提高业务水平和职业能力。真心关爱、严格要求、公正对待每一位学生，做学生健康成长的指导者和引路人。</w:t>
            </w:r>
            <w:r>
              <w:rPr>
                <w:rFonts w:hint="eastAsia" w:ascii="仿宋" w:hAnsi="仿宋" w:eastAsia="仿宋" w:cs="仿宋_GB2312"/>
                <w:bCs/>
                <w:szCs w:val="21"/>
              </w:rPr>
              <w:t>不得损害学生的合法权益。</w:t>
            </w:r>
          </w:p>
        </w:tc>
      </w:tr>
      <w:tr>
        <w:tblPrEx>
          <w:tblLayout w:type="fixed"/>
          <w:tblCellMar>
            <w:top w:w="0" w:type="dxa"/>
            <w:left w:w="108" w:type="dxa"/>
            <w:bottom w:w="0" w:type="dxa"/>
            <w:right w:w="108" w:type="dxa"/>
          </w:tblCellMar>
        </w:tblPrEx>
        <w:trPr>
          <w:trHeight w:val="1410" w:hRule="atLeast"/>
          <w:jc w:val="center"/>
        </w:trPr>
        <w:tc>
          <w:tcPr>
            <w:tcW w:w="825" w:type="dxa"/>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仿宋_GB2312"/>
                <w:kern w:val="0"/>
                <w:szCs w:val="21"/>
              </w:rPr>
            </w:pPr>
            <w:r>
              <w:rPr>
                <w:rFonts w:hint="eastAsia" w:ascii="仿宋" w:hAnsi="仿宋" w:eastAsia="仿宋" w:cs="仿宋_GB2312"/>
                <w:kern w:val="0"/>
                <w:szCs w:val="21"/>
              </w:rPr>
              <w:t>教书育人</w:t>
            </w:r>
          </w:p>
        </w:tc>
        <w:tc>
          <w:tcPr>
            <w:tcW w:w="8069" w:type="dxa"/>
            <w:tcBorders>
              <w:top w:val="nil"/>
              <w:left w:val="nil"/>
              <w:bottom w:val="single" w:color="auto" w:sz="4" w:space="0"/>
              <w:right w:val="single" w:color="auto" w:sz="4" w:space="0"/>
            </w:tcBorders>
            <w:shd w:val="clear" w:color="auto" w:fill="auto"/>
            <w:vAlign w:val="center"/>
          </w:tcPr>
          <w:p>
            <w:pPr>
              <w:spacing w:line="400" w:lineRule="exact"/>
              <w:ind w:left="105" w:leftChars="50" w:right="105" w:rightChars="50" w:firstLine="420" w:firstLineChars="200"/>
              <w:rPr>
                <w:rFonts w:ascii="仿宋" w:hAnsi="仿宋" w:eastAsia="仿宋" w:cs="仿宋_GB2312"/>
                <w:szCs w:val="21"/>
              </w:rPr>
            </w:pPr>
            <w:r>
              <w:rPr>
                <w:rFonts w:hint="eastAsia" w:ascii="仿宋" w:hAnsi="仿宋" w:eastAsia="仿宋" w:cs="仿宋_GB2312"/>
                <w:szCs w:val="21"/>
              </w:rPr>
              <w:t>坚持育人为本，遵循并探索教育教学规律，因材施教，教学相长。积极开展教育教学改革，精心备课，悉心指导，</w:t>
            </w:r>
            <w:r>
              <w:rPr>
                <w:rFonts w:hint="eastAsia" w:ascii="仿宋" w:hAnsi="仿宋" w:eastAsia="仿宋" w:cs="仿宋_GB2312"/>
                <w:bCs/>
                <w:szCs w:val="21"/>
              </w:rPr>
              <w:t>不得有影响正常教育教学工作的兼职兼薪行为。</w:t>
            </w:r>
            <w:r>
              <w:rPr>
                <w:rFonts w:hint="eastAsia" w:ascii="仿宋" w:hAnsi="仿宋" w:eastAsia="仿宋" w:cs="仿宋_GB2312"/>
                <w:szCs w:val="21"/>
              </w:rPr>
              <w:t>坚持立德树人，注重教育教学过程中对学生的政治素质和思想品德的培养，把育人贯穿到人才培养的各环节、全过程。关心学生的身心健康，加强自身修养，促进学生德智体全面发展。</w:t>
            </w:r>
          </w:p>
        </w:tc>
      </w:tr>
      <w:tr>
        <w:tblPrEx>
          <w:tblLayout w:type="fixed"/>
          <w:tblCellMar>
            <w:top w:w="0" w:type="dxa"/>
            <w:left w:w="108" w:type="dxa"/>
            <w:bottom w:w="0" w:type="dxa"/>
            <w:right w:w="108" w:type="dxa"/>
          </w:tblCellMar>
        </w:tblPrEx>
        <w:trPr>
          <w:trHeight w:val="1665" w:hRule="atLeast"/>
          <w:jc w:val="center"/>
        </w:trPr>
        <w:tc>
          <w:tcPr>
            <w:tcW w:w="825" w:type="dxa"/>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仿宋_GB2312"/>
                <w:kern w:val="0"/>
                <w:szCs w:val="21"/>
              </w:rPr>
            </w:pPr>
            <w:r>
              <w:rPr>
                <w:rFonts w:hint="eastAsia" w:ascii="仿宋" w:hAnsi="仿宋" w:eastAsia="仿宋" w:cs="仿宋_GB2312"/>
                <w:kern w:val="0"/>
                <w:szCs w:val="21"/>
              </w:rPr>
              <w:t>严谨治学</w:t>
            </w:r>
          </w:p>
        </w:tc>
        <w:tc>
          <w:tcPr>
            <w:tcW w:w="8069" w:type="dxa"/>
            <w:tcBorders>
              <w:top w:val="single" w:color="auto" w:sz="4" w:space="0"/>
              <w:left w:val="nil"/>
              <w:bottom w:val="single" w:color="auto" w:sz="4" w:space="0"/>
              <w:right w:val="single" w:color="auto" w:sz="4" w:space="0"/>
            </w:tcBorders>
            <w:shd w:val="clear" w:color="auto" w:fill="auto"/>
            <w:vAlign w:val="center"/>
          </w:tcPr>
          <w:p>
            <w:pPr>
              <w:spacing w:line="400" w:lineRule="exact"/>
              <w:ind w:left="105" w:leftChars="50" w:right="105" w:rightChars="50" w:firstLine="420" w:firstLineChars="200"/>
              <w:rPr>
                <w:rFonts w:ascii="仿宋" w:hAnsi="仿宋" w:eastAsia="仿宋" w:cs="仿宋_GB2312"/>
                <w:bCs/>
                <w:szCs w:val="21"/>
              </w:rPr>
            </w:pPr>
            <w:r>
              <w:rPr>
                <w:rFonts w:hint="eastAsia" w:ascii="仿宋" w:hAnsi="仿宋" w:eastAsia="仿宋" w:cs="仿宋_GB2312"/>
                <w:szCs w:val="21"/>
              </w:rPr>
              <w:t>弘扬科学精神，坚持追求真理，以严谨求实、精益求精的治学态度，勇攀学术高峰。坚持实事求是，潜心钻研业务。发扬学术民主，善于团结合作、协力攻关、互助共进。秉持学术良知，恪守学术规范，</w:t>
            </w:r>
            <w:r>
              <w:rPr>
                <w:rFonts w:hint="eastAsia" w:ascii="仿宋" w:hAnsi="仿宋" w:eastAsia="仿宋" w:cs="仿宋_GB2312"/>
                <w:bCs/>
                <w:szCs w:val="21"/>
              </w:rPr>
              <w:t>科研工作中无弄虚作假、抄袭剽窃、篡改侵吞他人学术成果、违规使用科研经费等行为。</w:t>
            </w:r>
          </w:p>
        </w:tc>
      </w:tr>
      <w:tr>
        <w:tblPrEx>
          <w:tblLayout w:type="fixed"/>
          <w:tblCellMar>
            <w:top w:w="0" w:type="dxa"/>
            <w:left w:w="108" w:type="dxa"/>
            <w:bottom w:w="0" w:type="dxa"/>
            <w:right w:w="108" w:type="dxa"/>
          </w:tblCellMar>
        </w:tblPrEx>
        <w:trPr>
          <w:trHeight w:val="1131" w:hRule="atLeast"/>
          <w:jc w:val="center"/>
        </w:trPr>
        <w:tc>
          <w:tcPr>
            <w:tcW w:w="825" w:type="dxa"/>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仿宋_GB2312"/>
                <w:kern w:val="0"/>
                <w:szCs w:val="21"/>
              </w:rPr>
            </w:pPr>
            <w:r>
              <w:rPr>
                <w:rFonts w:hint="eastAsia" w:ascii="仿宋" w:hAnsi="仿宋" w:eastAsia="仿宋" w:cs="仿宋_GB2312"/>
                <w:kern w:val="0"/>
                <w:szCs w:val="21"/>
              </w:rPr>
              <w:t>服务社会</w:t>
            </w:r>
          </w:p>
        </w:tc>
        <w:tc>
          <w:tcPr>
            <w:tcW w:w="8069" w:type="dxa"/>
            <w:tcBorders>
              <w:top w:val="nil"/>
              <w:left w:val="nil"/>
              <w:bottom w:val="single" w:color="auto" w:sz="4" w:space="0"/>
              <w:right w:val="single" w:color="auto" w:sz="4" w:space="0"/>
            </w:tcBorders>
            <w:shd w:val="clear" w:color="auto" w:fill="auto"/>
            <w:vAlign w:val="center"/>
          </w:tcPr>
          <w:p>
            <w:pPr>
              <w:spacing w:line="400" w:lineRule="exact"/>
              <w:ind w:right="105" w:rightChars="50" w:firstLine="420" w:firstLineChars="200"/>
              <w:rPr>
                <w:rFonts w:ascii="仿宋" w:hAnsi="仿宋" w:eastAsia="仿宋" w:cs="仿宋_GB2312"/>
                <w:kern w:val="0"/>
                <w:szCs w:val="21"/>
              </w:rPr>
            </w:pPr>
            <w:r>
              <w:rPr>
                <w:rFonts w:hint="eastAsia" w:ascii="仿宋" w:hAnsi="仿宋" w:eastAsia="仿宋" w:cs="仿宋_GB2312"/>
                <w:szCs w:val="21"/>
              </w:rPr>
              <w:t>积极参与科教兴国战略实施，将新成果、新技术及时应用于社会。积极传播优秀文化，普及科学知识。积极参加公益活动，参与决策咨询、对策研究、技术开发和科技培训等活动。主动参与社会实践，用自己的知识和技术专长服务社会、回报人民。</w:t>
            </w:r>
            <w:r>
              <w:rPr>
                <w:rFonts w:hint="eastAsia" w:ascii="仿宋" w:hAnsi="仿宋" w:eastAsia="仿宋" w:cs="仿宋_GB2312"/>
                <w:bCs/>
                <w:szCs w:val="21"/>
              </w:rPr>
              <w:t>不得滥用学术资源和学术影响损害公共利益、谋取个人私利</w:t>
            </w:r>
            <w:r>
              <w:rPr>
                <w:rFonts w:hint="eastAsia" w:ascii="仿宋" w:hAnsi="仿宋" w:eastAsia="仿宋" w:cs="仿宋_GB2312"/>
                <w:szCs w:val="21"/>
              </w:rPr>
              <w:t>。</w:t>
            </w:r>
          </w:p>
        </w:tc>
      </w:tr>
      <w:tr>
        <w:tblPrEx>
          <w:tblLayout w:type="fixed"/>
          <w:tblCellMar>
            <w:top w:w="0" w:type="dxa"/>
            <w:left w:w="108" w:type="dxa"/>
            <w:bottom w:w="0" w:type="dxa"/>
            <w:right w:w="108" w:type="dxa"/>
          </w:tblCellMar>
        </w:tblPrEx>
        <w:trPr>
          <w:trHeight w:val="71" w:hRule="atLeast"/>
          <w:jc w:val="center"/>
        </w:trPr>
        <w:tc>
          <w:tcPr>
            <w:tcW w:w="825" w:type="dxa"/>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仿宋_GB2312"/>
                <w:kern w:val="0"/>
                <w:szCs w:val="21"/>
              </w:rPr>
            </w:pPr>
            <w:r>
              <w:rPr>
                <w:rFonts w:hint="eastAsia" w:ascii="仿宋" w:hAnsi="仿宋" w:eastAsia="仿宋" w:cs="仿宋_GB2312"/>
                <w:kern w:val="0"/>
                <w:szCs w:val="21"/>
              </w:rPr>
              <w:t>为人师表</w:t>
            </w:r>
          </w:p>
        </w:tc>
        <w:tc>
          <w:tcPr>
            <w:tcW w:w="8069" w:type="dxa"/>
            <w:tcBorders>
              <w:top w:val="nil"/>
              <w:left w:val="nil"/>
              <w:bottom w:val="single" w:color="auto" w:sz="4" w:space="0"/>
              <w:right w:val="single" w:color="auto" w:sz="4" w:space="0"/>
            </w:tcBorders>
            <w:shd w:val="clear" w:color="auto" w:fill="auto"/>
            <w:vAlign w:val="center"/>
          </w:tcPr>
          <w:p>
            <w:pPr>
              <w:spacing w:line="400" w:lineRule="exact"/>
              <w:ind w:left="105" w:leftChars="50" w:right="105" w:rightChars="50" w:firstLine="420" w:firstLineChars="200"/>
              <w:rPr>
                <w:rFonts w:ascii="仿宋" w:hAnsi="仿宋" w:eastAsia="仿宋" w:cs="仿宋_GB2312"/>
                <w:kern w:val="0"/>
                <w:szCs w:val="21"/>
              </w:rPr>
            </w:pPr>
            <w:r>
              <w:rPr>
                <w:rFonts w:hint="eastAsia" w:ascii="仿宋" w:hAnsi="仿宋" w:eastAsia="仿宋" w:cs="仿宋_GB2312"/>
                <w:szCs w:val="21"/>
              </w:rPr>
              <w:t>坚持以学生为本，树立高尚的道德情操和精神追求，以高尚品德、人格魅力和学识风范教育感染学生。模范遵守职业道德、社会公德和家庭美德。言行雅正，举止文明，仪容仪表整洁得体，语言规范健康。自尊自律，清廉从教。</w:t>
            </w:r>
            <w:r>
              <w:rPr>
                <w:rFonts w:hint="eastAsia" w:ascii="仿宋" w:hAnsi="仿宋" w:eastAsia="仿宋" w:cs="仿宋_GB2312"/>
                <w:bCs/>
                <w:szCs w:val="21"/>
              </w:rPr>
              <w:t>不得在招生、考试、学生推优等工作中徇私舞弊；不得索要或收受学生及家长的礼品、礼金、有价证券、支付凭证等财物；不得对学生实施性骚扰或与学生发生不正当关系；不得有其他违反教师职业道德的行为。</w:t>
            </w:r>
          </w:p>
        </w:tc>
      </w:tr>
    </w:tbl>
    <w:p>
      <w:pPr>
        <w:jc w:val="center"/>
        <w:rPr>
          <w:rFonts w:hint="eastAsia" w:ascii="宋体" w:hAnsi="宋体" w:eastAsia="宋体" w:cs="宋体"/>
          <w:b/>
          <w:kern w:val="0"/>
          <w:sz w:val="32"/>
          <w:szCs w:val="32"/>
        </w:rPr>
      </w:pPr>
    </w:p>
    <w:p>
      <w:pPr>
        <w:jc w:val="center"/>
        <w:rPr>
          <w:rFonts w:ascii="宋体" w:hAnsi="宋体" w:eastAsia="宋体"/>
          <w:b/>
          <w:sz w:val="32"/>
          <w:szCs w:val="32"/>
        </w:rPr>
      </w:pPr>
      <w:r>
        <w:rPr>
          <w:rFonts w:hint="eastAsia" w:ascii="宋体" w:hAnsi="宋体" w:eastAsia="宋体" w:cs="宋体"/>
          <w:b/>
          <w:kern w:val="0"/>
          <w:sz w:val="32"/>
          <w:szCs w:val="32"/>
        </w:rPr>
        <w:t>山东体育学院非教师民主测评考核指标</w:t>
      </w:r>
    </w:p>
    <w:tbl>
      <w:tblPr>
        <w:tblStyle w:val="6"/>
        <w:tblW w:w="8894" w:type="dxa"/>
        <w:jc w:val="center"/>
        <w:tblInd w:w="0" w:type="dxa"/>
        <w:tblLayout w:type="fixed"/>
        <w:tblCellMar>
          <w:top w:w="0" w:type="dxa"/>
          <w:left w:w="108" w:type="dxa"/>
          <w:bottom w:w="0" w:type="dxa"/>
          <w:right w:w="108" w:type="dxa"/>
        </w:tblCellMar>
      </w:tblPr>
      <w:tblGrid>
        <w:gridCol w:w="825"/>
        <w:gridCol w:w="8069"/>
      </w:tblGrid>
      <w:tr>
        <w:tblPrEx>
          <w:tblLayout w:type="fixed"/>
          <w:tblCellMar>
            <w:top w:w="0" w:type="dxa"/>
            <w:left w:w="108" w:type="dxa"/>
            <w:bottom w:w="0" w:type="dxa"/>
            <w:right w:w="108" w:type="dxa"/>
          </w:tblCellMar>
        </w:tblPrEx>
        <w:trPr>
          <w:trHeight w:val="690" w:hRule="atLeast"/>
          <w:jc w:val="center"/>
        </w:trPr>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一级</w:t>
            </w:r>
          </w:p>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指标</w:t>
            </w:r>
          </w:p>
        </w:tc>
        <w:tc>
          <w:tcPr>
            <w:tcW w:w="80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二级指标</w:t>
            </w:r>
          </w:p>
        </w:tc>
      </w:tr>
      <w:tr>
        <w:tblPrEx>
          <w:tblLayout w:type="fixed"/>
          <w:tblCellMar>
            <w:top w:w="0" w:type="dxa"/>
            <w:left w:w="108" w:type="dxa"/>
            <w:bottom w:w="0" w:type="dxa"/>
            <w:right w:w="108" w:type="dxa"/>
          </w:tblCellMar>
        </w:tblPrEx>
        <w:trPr>
          <w:trHeight w:val="1751" w:hRule="atLeast"/>
          <w:jc w:val="center"/>
        </w:trPr>
        <w:tc>
          <w:tcPr>
            <w:tcW w:w="825" w:type="dxa"/>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仿宋_GB2312"/>
                <w:kern w:val="0"/>
                <w:sz w:val="24"/>
                <w:szCs w:val="24"/>
              </w:rPr>
            </w:pPr>
            <w:r>
              <w:rPr>
                <w:rFonts w:ascii="仿宋" w:hAnsi="仿宋" w:eastAsia="仿宋" w:cs="仿宋_GB2312"/>
                <w:kern w:val="0"/>
                <w:sz w:val="24"/>
                <w:szCs w:val="24"/>
              </w:rPr>
              <w:t>德</w:t>
            </w:r>
          </w:p>
        </w:tc>
        <w:tc>
          <w:tcPr>
            <w:tcW w:w="8069" w:type="dxa"/>
            <w:tcBorders>
              <w:top w:val="nil"/>
              <w:left w:val="nil"/>
              <w:bottom w:val="single" w:color="auto" w:sz="4" w:space="0"/>
              <w:right w:val="single" w:color="auto" w:sz="4" w:space="0"/>
            </w:tcBorders>
            <w:shd w:val="clear" w:color="auto" w:fill="auto"/>
            <w:vAlign w:val="center"/>
          </w:tcPr>
          <w:p>
            <w:pPr>
              <w:spacing w:line="400" w:lineRule="exact"/>
              <w:ind w:left="105" w:leftChars="50" w:right="105" w:rightChars="50" w:firstLine="480" w:firstLineChars="200"/>
              <w:rPr>
                <w:rFonts w:ascii="仿宋" w:hAnsi="仿宋" w:eastAsia="仿宋" w:cs="仿宋_GB2312"/>
                <w:sz w:val="24"/>
                <w:szCs w:val="24"/>
              </w:rPr>
            </w:pPr>
            <w:r>
              <w:rPr>
                <w:rFonts w:hint="eastAsia" w:ascii="仿宋" w:hAnsi="仿宋" w:eastAsia="仿宋" w:cs="仿宋_GB2312"/>
                <w:kern w:val="0"/>
                <w:sz w:val="24"/>
                <w:szCs w:val="24"/>
              </w:rPr>
              <w:t>热爱祖国，热爱人民，拥护中国共产党领导，</w:t>
            </w:r>
            <w:r>
              <w:rPr>
                <w:rFonts w:hint="eastAsia" w:ascii="仿宋" w:hAnsi="仿宋" w:eastAsia="仿宋" w:cs="仿宋_GB2312"/>
                <w:sz w:val="24"/>
                <w:szCs w:val="24"/>
              </w:rPr>
              <w:t>拥护中国特色社会主义制度，始终与党和国家的路线方针政策保持高度一致。严格遵守国家的法律法规，思想政治素质过硬，模范遵守社会公德、职业道德、家庭美德、个人品德。</w:t>
            </w:r>
          </w:p>
        </w:tc>
      </w:tr>
      <w:tr>
        <w:tblPrEx>
          <w:tblLayout w:type="fixed"/>
          <w:tblCellMar>
            <w:top w:w="0" w:type="dxa"/>
            <w:left w:w="108" w:type="dxa"/>
            <w:bottom w:w="0" w:type="dxa"/>
            <w:right w:w="108" w:type="dxa"/>
          </w:tblCellMar>
        </w:tblPrEx>
        <w:trPr>
          <w:trHeight w:val="1280" w:hRule="atLeast"/>
          <w:jc w:val="center"/>
        </w:trPr>
        <w:tc>
          <w:tcPr>
            <w:tcW w:w="825" w:type="dxa"/>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仿宋_GB2312"/>
                <w:kern w:val="0"/>
                <w:sz w:val="24"/>
                <w:szCs w:val="24"/>
              </w:rPr>
            </w:pPr>
            <w:r>
              <w:rPr>
                <w:rFonts w:ascii="仿宋" w:hAnsi="仿宋" w:eastAsia="仿宋" w:cs="仿宋_GB2312"/>
                <w:kern w:val="0"/>
                <w:sz w:val="24"/>
                <w:szCs w:val="24"/>
              </w:rPr>
              <w:t>能</w:t>
            </w:r>
          </w:p>
        </w:tc>
        <w:tc>
          <w:tcPr>
            <w:tcW w:w="8069" w:type="dxa"/>
            <w:tcBorders>
              <w:top w:val="nil"/>
              <w:left w:val="nil"/>
              <w:bottom w:val="single" w:color="auto" w:sz="4" w:space="0"/>
              <w:right w:val="single" w:color="auto" w:sz="4" w:space="0"/>
            </w:tcBorders>
            <w:shd w:val="clear" w:color="auto" w:fill="auto"/>
            <w:vAlign w:val="center"/>
          </w:tcPr>
          <w:p>
            <w:pPr>
              <w:spacing w:line="400" w:lineRule="exact"/>
              <w:ind w:left="105" w:leftChars="50" w:right="105" w:rightChars="50" w:firstLine="480" w:firstLineChars="200"/>
              <w:rPr>
                <w:rFonts w:ascii="仿宋" w:hAnsi="仿宋" w:eastAsia="仿宋" w:cs="仿宋_GB2312"/>
                <w:bCs/>
                <w:sz w:val="24"/>
                <w:szCs w:val="24"/>
              </w:rPr>
            </w:pPr>
            <w:r>
              <w:rPr>
                <w:rFonts w:hint="eastAsia" w:ascii="仿宋" w:hAnsi="仿宋" w:eastAsia="仿宋" w:cs="仿宋_GB2312"/>
                <w:sz w:val="24"/>
                <w:szCs w:val="24"/>
              </w:rPr>
              <w:t>认真履行岗位职责，具有相应的业务水平以及专业技术和技能水平的提高，知识有更新、工作有创新</w:t>
            </w:r>
            <w:r>
              <w:rPr>
                <w:rFonts w:hint="eastAsia" w:ascii="仿宋" w:hAnsi="仿宋" w:eastAsia="仿宋" w:cs="仿宋_GB2312"/>
                <w:bCs/>
                <w:sz w:val="24"/>
                <w:szCs w:val="24"/>
              </w:rPr>
              <w:t>。</w:t>
            </w:r>
          </w:p>
        </w:tc>
      </w:tr>
      <w:tr>
        <w:tblPrEx>
          <w:tblLayout w:type="fixed"/>
          <w:tblCellMar>
            <w:top w:w="0" w:type="dxa"/>
            <w:left w:w="108" w:type="dxa"/>
            <w:bottom w:w="0" w:type="dxa"/>
            <w:right w:w="108" w:type="dxa"/>
          </w:tblCellMar>
        </w:tblPrEx>
        <w:trPr>
          <w:trHeight w:val="1410" w:hRule="atLeast"/>
          <w:jc w:val="center"/>
        </w:trPr>
        <w:tc>
          <w:tcPr>
            <w:tcW w:w="825" w:type="dxa"/>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仿宋_GB2312"/>
                <w:kern w:val="0"/>
                <w:sz w:val="24"/>
                <w:szCs w:val="24"/>
              </w:rPr>
            </w:pPr>
            <w:r>
              <w:rPr>
                <w:rFonts w:ascii="仿宋" w:hAnsi="仿宋" w:eastAsia="仿宋" w:cs="仿宋_GB2312"/>
                <w:kern w:val="0"/>
                <w:sz w:val="24"/>
                <w:szCs w:val="24"/>
              </w:rPr>
              <w:t>勤</w:t>
            </w:r>
          </w:p>
        </w:tc>
        <w:tc>
          <w:tcPr>
            <w:tcW w:w="8069" w:type="dxa"/>
            <w:tcBorders>
              <w:top w:val="nil"/>
              <w:left w:val="nil"/>
              <w:bottom w:val="single" w:color="auto" w:sz="4" w:space="0"/>
              <w:right w:val="single" w:color="auto" w:sz="4" w:space="0"/>
            </w:tcBorders>
            <w:shd w:val="clear" w:color="auto" w:fill="auto"/>
            <w:vAlign w:val="center"/>
          </w:tcPr>
          <w:p>
            <w:pPr>
              <w:spacing w:line="400" w:lineRule="exact"/>
              <w:ind w:left="105" w:leftChars="50" w:right="105" w:rightChars="50" w:firstLine="480" w:firstLineChars="200"/>
              <w:rPr>
                <w:rFonts w:ascii="仿宋" w:hAnsi="仿宋" w:eastAsia="仿宋" w:cs="仿宋_GB2312"/>
                <w:sz w:val="24"/>
                <w:szCs w:val="24"/>
              </w:rPr>
            </w:pPr>
            <w:r>
              <w:rPr>
                <w:rFonts w:hint="eastAsia" w:ascii="仿宋" w:hAnsi="仿宋" w:eastAsia="仿宋" w:cs="仿宋_GB2312"/>
                <w:sz w:val="24"/>
                <w:szCs w:val="24"/>
              </w:rPr>
              <w:t>有强烈工作责任心，工作态度端正，工作勤奋，不推诿，不扯皮，有崇高的敬业精神和公共服务意识。</w:t>
            </w:r>
          </w:p>
        </w:tc>
      </w:tr>
      <w:tr>
        <w:tblPrEx>
          <w:tblLayout w:type="fixed"/>
          <w:tblCellMar>
            <w:top w:w="0" w:type="dxa"/>
            <w:left w:w="108" w:type="dxa"/>
            <w:bottom w:w="0" w:type="dxa"/>
            <w:right w:w="108" w:type="dxa"/>
          </w:tblCellMar>
        </w:tblPrEx>
        <w:trPr>
          <w:trHeight w:val="1665" w:hRule="atLeast"/>
          <w:jc w:val="center"/>
        </w:trPr>
        <w:tc>
          <w:tcPr>
            <w:tcW w:w="825" w:type="dxa"/>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仿宋_GB2312"/>
                <w:kern w:val="0"/>
                <w:sz w:val="24"/>
                <w:szCs w:val="24"/>
              </w:rPr>
            </w:pPr>
            <w:r>
              <w:rPr>
                <w:rFonts w:ascii="仿宋" w:hAnsi="仿宋" w:eastAsia="仿宋" w:cs="仿宋_GB2312"/>
                <w:kern w:val="0"/>
                <w:sz w:val="24"/>
                <w:szCs w:val="24"/>
              </w:rPr>
              <w:t>绩</w:t>
            </w:r>
          </w:p>
        </w:tc>
        <w:tc>
          <w:tcPr>
            <w:tcW w:w="8069" w:type="dxa"/>
            <w:tcBorders>
              <w:top w:val="single" w:color="auto" w:sz="4" w:space="0"/>
              <w:left w:val="nil"/>
              <w:bottom w:val="single" w:color="auto" w:sz="4" w:space="0"/>
              <w:right w:val="single" w:color="auto" w:sz="4" w:space="0"/>
            </w:tcBorders>
            <w:shd w:val="clear" w:color="auto" w:fill="auto"/>
            <w:vAlign w:val="center"/>
          </w:tcPr>
          <w:p>
            <w:pPr>
              <w:spacing w:line="400" w:lineRule="exact"/>
              <w:ind w:left="105" w:leftChars="50" w:right="105" w:rightChars="50" w:firstLine="480" w:firstLineChars="200"/>
              <w:rPr>
                <w:rFonts w:ascii="仿宋" w:hAnsi="仿宋" w:eastAsia="仿宋" w:cs="仿宋_GB2312"/>
                <w:bCs/>
                <w:sz w:val="24"/>
                <w:szCs w:val="24"/>
              </w:rPr>
            </w:pPr>
            <w:r>
              <w:rPr>
                <w:rFonts w:hint="eastAsia" w:ascii="仿宋" w:hAnsi="仿宋" w:eastAsia="仿宋" w:cs="仿宋_GB2312"/>
                <w:sz w:val="24"/>
                <w:szCs w:val="24"/>
              </w:rPr>
              <w:t>履行岗位职责情况良好，积极完成各项工作任务，且完成质量好、效率高，取得相应水平的成果和业绩，产生一定的社会效益，服务对象的满意度较高。</w:t>
            </w:r>
          </w:p>
        </w:tc>
      </w:tr>
      <w:tr>
        <w:tblPrEx>
          <w:tblLayout w:type="fixed"/>
          <w:tblCellMar>
            <w:top w:w="0" w:type="dxa"/>
            <w:left w:w="108" w:type="dxa"/>
            <w:bottom w:w="0" w:type="dxa"/>
            <w:right w:w="108" w:type="dxa"/>
          </w:tblCellMar>
        </w:tblPrEx>
        <w:trPr>
          <w:trHeight w:val="1131" w:hRule="atLeast"/>
          <w:jc w:val="center"/>
        </w:trPr>
        <w:tc>
          <w:tcPr>
            <w:tcW w:w="825" w:type="dxa"/>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仿宋_GB2312"/>
                <w:kern w:val="0"/>
                <w:sz w:val="24"/>
                <w:szCs w:val="24"/>
              </w:rPr>
            </w:pPr>
            <w:r>
              <w:rPr>
                <w:rFonts w:ascii="仿宋" w:hAnsi="仿宋" w:eastAsia="仿宋" w:cs="仿宋_GB2312"/>
                <w:kern w:val="0"/>
                <w:sz w:val="24"/>
                <w:szCs w:val="24"/>
              </w:rPr>
              <w:t>廉</w:t>
            </w:r>
          </w:p>
        </w:tc>
        <w:tc>
          <w:tcPr>
            <w:tcW w:w="8069" w:type="dxa"/>
            <w:tcBorders>
              <w:top w:val="nil"/>
              <w:left w:val="nil"/>
              <w:bottom w:val="single" w:color="auto" w:sz="4" w:space="0"/>
              <w:right w:val="single" w:color="auto" w:sz="4" w:space="0"/>
            </w:tcBorders>
            <w:shd w:val="clear" w:color="auto" w:fill="auto"/>
            <w:vAlign w:val="center"/>
          </w:tcPr>
          <w:p>
            <w:pPr>
              <w:spacing w:line="400" w:lineRule="exact"/>
              <w:ind w:right="105" w:rightChars="50" w:firstLine="480" w:firstLineChars="200"/>
              <w:rPr>
                <w:rFonts w:ascii="仿宋" w:hAnsi="仿宋" w:eastAsia="仿宋" w:cs="仿宋_GB2312"/>
                <w:kern w:val="0"/>
                <w:sz w:val="24"/>
                <w:szCs w:val="24"/>
              </w:rPr>
            </w:pPr>
            <w:r>
              <w:rPr>
                <w:rFonts w:hint="eastAsia" w:ascii="仿宋" w:hAnsi="仿宋" w:eastAsia="仿宋" w:cs="仿宋_GB2312"/>
                <w:sz w:val="24"/>
                <w:szCs w:val="24"/>
              </w:rPr>
              <w:t>自尊自律，廉洁从业。</w:t>
            </w:r>
            <w:r>
              <w:rPr>
                <w:rFonts w:hint="eastAsia" w:ascii="仿宋" w:hAnsi="仿宋" w:eastAsia="仿宋" w:cs="仿宋_GB2312"/>
                <w:bCs/>
                <w:sz w:val="24"/>
                <w:szCs w:val="24"/>
              </w:rPr>
              <w:t>不得以工作之便徇私舞弊；不得向服务对象索要或收受礼品、礼金、有价证券、支付凭证等财物；不得有其他违反职业道德的行为。</w:t>
            </w:r>
          </w:p>
        </w:tc>
      </w:tr>
    </w:tbl>
    <w:p>
      <w:pPr>
        <w:widowControl/>
        <w:jc w:val="left"/>
        <w:rPr>
          <w:rFonts w:ascii="仿宋" w:hAnsi="仿宋" w:eastAsia="仿宋" w:cs="仿宋_GB2312"/>
          <w:sz w:val="32"/>
          <w:szCs w:val="32"/>
        </w:rPr>
      </w:pPr>
    </w:p>
    <w:p>
      <w:pPr>
        <w:widowControl/>
        <w:jc w:val="left"/>
        <w:rPr>
          <w:rFonts w:ascii="仿宋" w:hAnsi="仿宋" w:eastAsia="仿宋" w:cs="仿宋_GB2312"/>
          <w:sz w:val="32"/>
          <w:szCs w:val="32"/>
        </w:rPr>
      </w:pPr>
    </w:p>
    <w:p/>
    <w:p/>
    <w:p>
      <w:r>
        <w:br w:type="page"/>
      </w:r>
    </w:p>
    <w:tbl>
      <w:tblPr>
        <w:tblStyle w:val="6"/>
        <w:tblW w:w="9460" w:type="dxa"/>
        <w:jc w:val="center"/>
        <w:tblInd w:w="0" w:type="dxa"/>
        <w:tblLayout w:type="fixed"/>
        <w:tblCellMar>
          <w:top w:w="0" w:type="dxa"/>
          <w:left w:w="108" w:type="dxa"/>
          <w:bottom w:w="0" w:type="dxa"/>
          <w:right w:w="108" w:type="dxa"/>
        </w:tblCellMar>
      </w:tblPr>
      <w:tblGrid>
        <w:gridCol w:w="1080"/>
        <w:gridCol w:w="1079"/>
        <w:gridCol w:w="2603"/>
        <w:gridCol w:w="3619"/>
        <w:gridCol w:w="1079"/>
      </w:tblGrid>
      <w:tr>
        <w:tblPrEx>
          <w:tblLayout w:type="fixed"/>
          <w:tblCellMar>
            <w:top w:w="0" w:type="dxa"/>
            <w:left w:w="108" w:type="dxa"/>
            <w:bottom w:w="0" w:type="dxa"/>
            <w:right w:w="108" w:type="dxa"/>
          </w:tblCellMar>
        </w:tblPrEx>
        <w:trPr>
          <w:trHeight w:val="780" w:hRule="atLeast"/>
          <w:jc w:val="center"/>
        </w:trPr>
        <w:tc>
          <w:tcPr>
            <w:tcW w:w="9460" w:type="dxa"/>
            <w:gridSpan w:val="5"/>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附件3：</w:t>
            </w:r>
          </w:p>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201</w:t>
            </w:r>
            <w:r>
              <w:rPr>
                <w:rFonts w:ascii="宋体" w:hAnsi="宋体" w:eastAsia="宋体" w:cs="宋体"/>
                <w:b/>
                <w:bCs/>
                <w:color w:val="000000"/>
                <w:kern w:val="0"/>
                <w:sz w:val="32"/>
                <w:szCs w:val="32"/>
              </w:rPr>
              <w:t>9</w:t>
            </w:r>
            <w:r>
              <w:rPr>
                <w:rFonts w:hint="eastAsia" w:ascii="宋体" w:hAnsi="宋体" w:eastAsia="宋体" w:cs="宋体"/>
                <w:b/>
                <w:bCs/>
                <w:color w:val="000000"/>
                <w:kern w:val="0"/>
                <w:sz w:val="32"/>
                <w:szCs w:val="32"/>
              </w:rPr>
              <w:t>年度</w:t>
            </w:r>
            <w:bookmarkStart w:id="0" w:name="_Hlk26447858"/>
            <w:r>
              <w:rPr>
                <w:rFonts w:hint="eastAsia" w:ascii="宋体" w:hAnsi="宋体" w:eastAsia="宋体" w:cs="宋体"/>
                <w:b/>
                <w:bCs/>
                <w:color w:val="000000"/>
                <w:kern w:val="0"/>
                <w:sz w:val="32"/>
                <w:szCs w:val="32"/>
              </w:rPr>
              <w:t>专业技术岗位评聘师德考核（民主测评）汇总表</w:t>
            </w:r>
            <w:bookmarkEnd w:id="0"/>
          </w:p>
        </w:tc>
      </w:tr>
      <w:tr>
        <w:tblPrEx>
          <w:tblLayout w:type="fixed"/>
          <w:tblCellMar>
            <w:top w:w="0" w:type="dxa"/>
            <w:left w:w="108" w:type="dxa"/>
            <w:bottom w:w="0" w:type="dxa"/>
            <w:right w:w="108" w:type="dxa"/>
          </w:tblCellMar>
        </w:tblPrEx>
        <w:trPr>
          <w:trHeight w:val="780" w:hRule="atLeast"/>
          <w:jc w:val="center"/>
        </w:trPr>
        <w:tc>
          <w:tcPr>
            <w:tcW w:w="9460" w:type="dxa"/>
            <w:gridSpan w:val="5"/>
            <w:tcBorders>
              <w:top w:val="nil"/>
              <w:left w:val="nil"/>
              <w:bottom w:val="single" w:color="auto" w:sz="4" w:space="0"/>
              <w:right w:val="nil"/>
            </w:tcBorders>
            <w:shd w:val="clear" w:color="auto" w:fill="auto"/>
            <w:noWrap/>
            <w:vAlign w:val="center"/>
          </w:tcPr>
          <w:p>
            <w:pPr>
              <w:widowControl/>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部门名称：</w:t>
            </w:r>
          </w:p>
        </w:tc>
      </w:tr>
      <w:tr>
        <w:tblPrEx>
          <w:tblLayout w:type="fixed"/>
          <w:tblCellMar>
            <w:top w:w="0" w:type="dxa"/>
            <w:left w:w="108" w:type="dxa"/>
            <w:bottom w:w="0" w:type="dxa"/>
            <w:right w:w="108" w:type="dxa"/>
          </w:tblCellMar>
        </w:tblPrEx>
        <w:trPr>
          <w:trHeight w:val="49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序号</w:t>
            </w:r>
          </w:p>
        </w:tc>
        <w:tc>
          <w:tcPr>
            <w:tcW w:w="10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姓名</w:t>
            </w:r>
          </w:p>
        </w:tc>
        <w:tc>
          <w:tcPr>
            <w:tcW w:w="260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拟竞聘岗位</w:t>
            </w:r>
          </w:p>
        </w:tc>
        <w:tc>
          <w:tcPr>
            <w:tcW w:w="361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考核、测评结果</w:t>
            </w:r>
          </w:p>
        </w:tc>
        <w:tc>
          <w:tcPr>
            <w:tcW w:w="10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备注</w:t>
            </w:r>
          </w:p>
        </w:tc>
      </w:tr>
      <w:tr>
        <w:tblPrEx>
          <w:tblLayout w:type="fixed"/>
          <w:tblCellMar>
            <w:top w:w="0" w:type="dxa"/>
            <w:left w:w="108" w:type="dxa"/>
            <w:bottom w:w="0" w:type="dxa"/>
            <w:right w:w="108" w:type="dxa"/>
          </w:tblCellMar>
        </w:tblPrEx>
        <w:trPr>
          <w:trHeight w:val="49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0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260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361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0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49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0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260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361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0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49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10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260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361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0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49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10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260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361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0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49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10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260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361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0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49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10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260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361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0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49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10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260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361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0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49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10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260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361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0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49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10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260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361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0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49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0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260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361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0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49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10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260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361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0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49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10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260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361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0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49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10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260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361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0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49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10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260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361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0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49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10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260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361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0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9460" w:type="dxa"/>
            <w:gridSpan w:val="5"/>
            <w:tcBorders>
              <w:top w:val="single" w:color="auto" w:sz="4" w:space="0"/>
              <w:left w:val="nil"/>
              <w:bottom w:val="nil"/>
              <w:right w:val="nil"/>
            </w:tcBorders>
            <w:shd w:val="clear" w:color="auto" w:fill="auto"/>
            <w:noWrap/>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说明：师德考核（民主测评）结果分为合格、不合格两种。</w:t>
            </w:r>
          </w:p>
          <w:p>
            <w:pPr>
              <w:widowControl/>
              <w:jc w:val="left"/>
              <w:rPr>
                <w:rFonts w:ascii="仿宋" w:hAnsi="仿宋" w:eastAsia="仿宋" w:cs="宋体"/>
                <w:color w:val="000000"/>
                <w:kern w:val="0"/>
                <w:sz w:val="22"/>
              </w:rPr>
            </w:pP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22"/>
              </w:rPr>
            </w:pPr>
          </w:p>
        </w:tc>
        <w:tc>
          <w:tcPr>
            <w:tcW w:w="1079" w:type="dxa"/>
            <w:tcBorders>
              <w:top w:val="nil"/>
              <w:left w:val="nil"/>
              <w:bottom w:val="nil"/>
              <w:right w:val="nil"/>
            </w:tcBorders>
            <w:shd w:val="clear" w:color="auto" w:fill="auto"/>
            <w:noWrap/>
            <w:vAlign w:val="center"/>
          </w:tcPr>
          <w:p>
            <w:pPr>
              <w:widowControl/>
              <w:jc w:val="left"/>
              <w:rPr>
                <w:rFonts w:ascii="仿宋" w:hAnsi="仿宋" w:eastAsia="仿宋" w:cs="Times New Roman"/>
                <w:kern w:val="0"/>
                <w:sz w:val="20"/>
                <w:szCs w:val="20"/>
              </w:rPr>
            </w:pPr>
          </w:p>
        </w:tc>
        <w:tc>
          <w:tcPr>
            <w:tcW w:w="2603" w:type="dxa"/>
            <w:tcBorders>
              <w:top w:val="nil"/>
              <w:left w:val="nil"/>
              <w:bottom w:val="nil"/>
              <w:right w:val="nil"/>
            </w:tcBorders>
            <w:shd w:val="clear" w:color="auto" w:fill="auto"/>
            <w:noWrap/>
            <w:vAlign w:val="center"/>
          </w:tcPr>
          <w:p>
            <w:pPr>
              <w:widowControl/>
              <w:jc w:val="left"/>
              <w:rPr>
                <w:rFonts w:ascii="仿宋" w:hAnsi="仿宋" w:eastAsia="仿宋" w:cs="Times New Roman"/>
                <w:kern w:val="0"/>
                <w:sz w:val="20"/>
                <w:szCs w:val="20"/>
              </w:rPr>
            </w:pPr>
          </w:p>
        </w:tc>
        <w:tc>
          <w:tcPr>
            <w:tcW w:w="3619" w:type="dxa"/>
            <w:tcBorders>
              <w:top w:val="nil"/>
              <w:left w:val="nil"/>
              <w:bottom w:val="nil"/>
              <w:right w:val="nil"/>
            </w:tcBorders>
            <w:shd w:val="clear" w:color="auto" w:fill="auto"/>
            <w:noWrap/>
            <w:vAlign w:val="center"/>
          </w:tcPr>
          <w:p>
            <w:pPr>
              <w:widowControl/>
              <w:jc w:val="left"/>
              <w:rPr>
                <w:rFonts w:ascii="仿宋" w:hAnsi="仿宋" w:eastAsia="仿宋" w:cs="Times New Roman"/>
                <w:kern w:val="0"/>
                <w:sz w:val="20"/>
                <w:szCs w:val="20"/>
              </w:rPr>
            </w:pPr>
          </w:p>
        </w:tc>
        <w:tc>
          <w:tcPr>
            <w:tcW w:w="1079" w:type="dxa"/>
            <w:tcBorders>
              <w:top w:val="nil"/>
              <w:left w:val="nil"/>
              <w:bottom w:val="nil"/>
              <w:right w:val="nil"/>
            </w:tcBorders>
            <w:shd w:val="clear" w:color="auto" w:fill="auto"/>
            <w:noWrap/>
            <w:vAlign w:val="center"/>
          </w:tcPr>
          <w:p>
            <w:pPr>
              <w:widowControl/>
              <w:jc w:val="left"/>
              <w:rPr>
                <w:rFonts w:ascii="仿宋" w:hAnsi="仿宋" w:eastAsia="仿宋" w:cs="Times New Roman"/>
                <w:kern w:val="0"/>
                <w:sz w:val="20"/>
                <w:szCs w:val="20"/>
              </w:rPr>
            </w:pPr>
          </w:p>
        </w:tc>
      </w:tr>
      <w:tr>
        <w:tblPrEx>
          <w:tblLayout w:type="fixed"/>
          <w:tblCellMar>
            <w:top w:w="0" w:type="dxa"/>
            <w:left w:w="108" w:type="dxa"/>
            <w:bottom w:w="0" w:type="dxa"/>
            <w:right w:w="108" w:type="dxa"/>
          </w:tblCellMar>
        </w:tblPrEx>
        <w:trPr>
          <w:trHeight w:val="480" w:hRule="atLeast"/>
          <w:jc w:val="center"/>
        </w:trPr>
        <w:tc>
          <w:tcPr>
            <w:tcW w:w="2159" w:type="dxa"/>
            <w:gridSpan w:val="2"/>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负责人签字：</w:t>
            </w:r>
          </w:p>
        </w:tc>
        <w:tc>
          <w:tcPr>
            <w:tcW w:w="2603" w:type="dxa"/>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24"/>
                <w:szCs w:val="24"/>
              </w:rPr>
            </w:pPr>
          </w:p>
          <w:p>
            <w:pPr>
              <w:widowControl/>
              <w:jc w:val="left"/>
              <w:rPr>
                <w:rFonts w:ascii="仿宋" w:hAnsi="仿宋" w:eastAsia="仿宋" w:cs="宋体"/>
                <w:color w:val="000000"/>
                <w:kern w:val="0"/>
                <w:sz w:val="24"/>
                <w:szCs w:val="24"/>
              </w:rPr>
            </w:pPr>
          </w:p>
          <w:p>
            <w:pPr>
              <w:widowControl/>
              <w:jc w:val="left"/>
              <w:rPr>
                <w:rFonts w:ascii="仿宋" w:hAnsi="仿宋" w:eastAsia="仿宋" w:cs="宋体"/>
                <w:color w:val="000000"/>
                <w:kern w:val="0"/>
                <w:sz w:val="24"/>
                <w:szCs w:val="24"/>
              </w:rPr>
            </w:pPr>
          </w:p>
        </w:tc>
        <w:tc>
          <w:tcPr>
            <w:tcW w:w="3619" w:type="dxa"/>
            <w:tcBorders>
              <w:top w:val="nil"/>
              <w:left w:val="nil"/>
              <w:bottom w:val="nil"/>
              <w:right w:val="nil"/>
            </w:tcBorders>
            <w:shd w:val="clear" w:color="auto" w:fill="auto"/>
            <w:noWrap/>
            <w:vAlign w:val="center"/>
          </w:tcPr>
          <w:p>
            <w:pPr>
              <w:widowControl/>
              <w:jc w:val="left"/>
              <w:rPr>
                <w:rFonts w:ascii="仿宋" w:hAnsi="仿宋" w:eastAsia="仿宋" w:cs="Times New Roman"/>
                <w:kern w:val="0"/>
                <w:sz w:val="20"/>
                <w:szCs w:val="20"/>
              </w:rPr>
            </w:pPr>
          </w:p>
        </w:tc>
        <w:tc>
          <w:tcPr>
            <w:tcW w:w="1079" w:type="dxa"/>
            <w:tcBorders>
              <w:top w:val="nil"/>
              <w:left w:val="nil"/>
              <w:bottom w:val="nil"/>
              <w:right w:val="nil"/>
            </w:tcBorders>
            <w:shd w:val="clear" w:color="auto" w:fill="auto"/>
            <w:noWrap/>
            <w:vAlign w:val="center"/>
          </w:tcPr>
          <w:p>
            <w:pPr>
              <w:widowControl/>
              <w:jc w:val="left"/>
              <w:rPr>
                <w:rFonts w:ascii="仿宋" w:hAnsi="仿宋" w:eastAsia="仿宋" w:cs="Times New Roman"/>
                <w:kern w:val="0"/>
                <w:sz w:val="20"/>
                <w:szCs w:val="20"/>
              </w:rPr>
            </w:pP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nil"/>
              <w:bottom w:val="nil"/>
              <w:right w:val="nil"/>
            </w:tcBorders>
            <w:shd w:val="clear" w:color="auto" w:fill="auto"/>
            <w:noWrap/>
            <w:vAlign w:val="center"/>
          </w:tcPr>
          <w:p>
            <w:pPr>
              <w:widowControl/>
              <w:jc w:val="left"/>
              <w:rPr>
                <w:rFonts w:ascii="仿宋" w:hAnsi="仿宋" w:eastAsia="仿宋" w:cs="Times New Roman"/>
                <w:kern w:val="0"/>
                <w:sz w:val="20"/>
                <w:szCs w:val="20"/>
              </w:rPr>
            </w:pPr>
          </w:p>
        </w:tc>
        <w:tc>
          <w:tcPr>
            <w:tcW w:w="1079" w:type="dxa"/>
            <w:tcBorders>
              <w:top w:val="nil"/>
              <w:left w:val="nil"/>
              <w:bottom w:val="nil"/>
              <w:right w:val="nil"/>
            </w:tcBorders>
            <w:shd w:val="clear" w:color="auto" w:fill="auto"/>
            <w:noWrap/>
            <w:vAlign w:val="center"/>
          </w:tcPr>
          <w:p>
            <w:pPr>
              <w:widowControl/>
              <w:jc w:val="left"/>
              <w:rPr>
                <w:rFonts w:ascii="仿宋" w:hAnsi="仿宋" w:eastAsia="仿宋" w:cs="Times New Roman"/>
                <w:kern w:val="0"/>
                <w:sz w:val="20"/>
                <w:szCs w:val="20"/>
              </w:rPr>
            </w:pPr>
          </w:p>
        </w:tc>
        <w:tc>
          <w:tcPr>
            <w:tcW w:w="2603" w:type="dxa"/>
            <w:tcBorders>
              <w:top w:val="nil"/>
              <w:left w:val="nil"/>
              <w:bottom w:val="nil"/>
              <w:right w:val="nil"/>
            </w:tcBorders>
            <w:shd w:val="clear" w:color="auto" w:fill="auto"/>
            <w:noWrap/>
            <w:vAlign w:val="center"/>
          </w:tcPr>
          <w:p>
            <w:pPr>
              <w:widowControl/>
              <w:jc w:val="left"/>
              <w:rPr>
                <w:rFonts w:ascii="仿宋" w:hAnsi="仿宋" w:eastAsia="仿宋" w:cs="Times New Roman"/>
                <w:kern w:val="0"/>
                <w:sz w:val="20"/>
                <w:szCs w:val="20"/>
              </w:rPr>
            </w:pPr>
          </w:p>
        </w:tc>
        <w:tc>
          <w:tcPr>
            <w:tcW w:w="4698" w:type="dxa"/>
            <w:gridSpan w:val="2"/>
            <w:vMerge w:val="restart"/>
            <w:tcBorders>
              <w:top w:val="nil"/>
              <w:left w:val="nil"/>
              <w:bottom w:val="nil"/>
              <w:right w:val="nil"/>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（部门盖章）</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年    月    日</w:t>
            </w:r>
          </w:p>
        </w:tc>
      </w:tr>
      <w:tr>
        <w:tblPrEx>
          <w:tblLayout w:type="fixed"/>
          <w:tblCellMar>
            <w:top w:w="0" w:type="dxa"/>
            <w:left w:w="108" w:type="dxa"/>
            <w:bottom w:w="0" w:type="dxa"/>
            <w:right w:w="108" w:type="dxa"/>
          </w:tblCellMar>
        </w:tblPrEx>
        <w:trPr>
          <w:trHeight w:val="750" w:hRule="atLeast"/>
          <w:jc w:val="center"/>
        </w:trPr>
        <w:tc>
          <w:tcPr>
            <w:tcW w:w="1080" w:type="dxa"/>
            <w:tcBorders>
              <w:top w:val="nil"/>
              <w:left w:val="nil"/>
              <w:bottom w:val="nil"/>
              <w:right w:val="nil"/>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079"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603"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4698" w:type="dxa"/>
            <w:gridSpan w:val="2"/>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4"/>
                <w:szCs w:val="24"/>
              </w:rPr>
            </w:pPr>
          </w:p>
        </w:tc>
      </w:tr>
    </w:tbl>
    <w:p>
      <w:pPr>
        <w:widowControl/>
        <w:jc w:val="left"/>
        <w:rPr>
          <w:rFonts w:ascii="仿宋" w:hAnsi="仿宋" w:eastAsia="仿宋" w:cs="仿宋_GB2312"/>
          <w:sz w:val="32"/>
          <w:szCs w:val="32"/>
        </w:rPr>
      </w:pPr>
    </w:p>
    <w:p>
      <w:pPr>
        <w:rPr>
          <w:rFonts w:ascii="仿宋" w:hAnsi="仿宋" w:eastAsia="仿宋"/>
          <w:sz w:val="32"/>
          <w:szCs w:val="32"/>
        </w:rPr>
      </w:pPr>
      <w:bookmarkStart w:id="2" w:name="_GoBack"/>
      <w:bookmarkEnd w:id="2"/>
      <w:r>
        <w:rPr>
          <w:rFonts w:hint="eastAsia" w:ascii="仿宋" w:hAnsi="仿宋" w:eastAsia="仿宋"/>
          <w:sz w:val="32"/>
          <w:szCs w:val="32"/>
        </w:rPr>
        <w:t>附件</w:t>
      </w:r>
      <w:r>
        <w:rPr>
          <w:rFonts w:ascii="仿宋" w:hAnsi="仿宋" w:eastAsia="仿宋"/>
          <w:sz w:val="32"/>
          <w:szCs w:val="32"/>
        </w:rPr>
        <w:t>4</w:t>
      </w:r>
    </w:p>
    <w:p>
      <w:pPr>
        <w:jc w:val="center"/>
        <w:rPr>
          <w:rFonts w:ascii="宋体" w:hAnsi="宋体" w:eastAsia="宋体"/>
          <w:b/>
          <w:sz w:val="44"/>
          <w:szCs w:val="44"/>
        </w:rPr>
      </w:pPr>
      <w:r>
        <w:rPr>
          <w:rFonts w:hint="eastAsia" w:ascii="宋体" w:hAnsi="宋体" w:eastAsia="宋体"/>
          <w:b/>
          <w:sz w:val="44"/>
          <w:szCs w:val="44"/>
        </w:rPr>
        <w:t>201</w:t>
      </w:r>
      <w:r>
        <w:rPr>
          <w:rFonts w:ascii="宋体" w:hAnsi="宋体"/>
          <w:b/>
          <w:sz w:val="44"/>
          <w:szCs w:val="44"/>
        </w:rPr>
        <w:t>9</w:t>
      </w:r>
      <w:r>
        <w:rPr>
          <w:rFonts w:hint="eastAsia" w:ascii="宋体" w:hAnsi="宋体" w:eastAsia="宋体"/>
          <w:b/>
          <w:sz w:val="44"/>
          <w:szCs w:val="44"/>
        </w:rPr>
        <w:t>年度专业技术岗位评聘</w:t>
      </w:r>
    </w:p>
    <w:p>
      <w:pPr>
        <w:jc w:val="center"/>
        <w:rPr>
          <w:rFonts w:ascii="宋体" w:hAnsi="宋体" w:eastAsia="宋体"/>
          <w:b/>
          <w:sz w:val="44"/>
          <w:szCs w:val="44"/>
        </w:rPr>
      </w:pPr>
      <w:r>
        <w:rPr>
          <w:rFonts w:hint="eastAsia" w:ascii="宋体" w:hAnsi="宋体" w:eastAsia="宋体"/>
          <w:b/>
          <w:sz w:val="44"/>
          <w:szCs w:val="44"/>
        </w:rPr>
        <w:t>纸质申报材料报送说明</w:t>
      </w:r>
    </w:p>
    <w:p>
      <w:pPr>
        <w:ind w:firstLine="643" w:firstLineChars="200"/>
        <w:rPr>
          <w:rFonts w:ascii="仿宋" w:hAnsi="仿宋" w:eastAsia="仿宋"/>
          <w:b/>
          <w:sz w:val="32"/>
          <w:szCs w:val="32"/>
        </w:rPr>
      </w:pPr>
      <w:r>
        <w:rPr>
          <w:rFonts w:hint="eastAsia" w:ascii="仿宋" w:hAnsi="仿宋" w:eastAsia="仿宋"/>
          <w:b/>
          <w:sz w:val="32"/>
          <w:szCs w:val="32"/>
        </w:rPr>
        <w:t>一、填报表格</w:t>
      </w:r>
    </w:p>
    <w:p>
      <w:pPr>
        <w:ind w:firstLine="640" w:firstLineChars="200"/>
        <w:rPr>
          <w:rFonts w:ascii="仿宋" w:hAnsi="仿宋" w:eastAsia="仿宋"/>
          <w:sz w:val="32"/>
          <w:szCs w:val="32"/>
        </w:rPr>
      </w:pPr>
      <w:r>
        <w:rPr>
          <w:rFonts w:hint="eastAsia" w:ascii="仿宋" w:hAnsi="仿宋" w:eastAsia="仿宋"/>
          <w:sz w:val="32"/>
          <w:szCs w:val="32"/>
        </w:rPr>
        <w:t>（一）申报高校教师系列、辅导员系列</w:t>
      </w:r>
    </w:p>
    <w:p>
      <w:pPr>
        <w:ind w:firstLine="640" w:firstLineChars="200"/>
        <w:rPr>
          <w:rFonts w:ascii="仿宋" w:hAnsi="仿宋" w:eastAsia="仿宋"/>
          <w:sz w:val="32"/>
          <w:szCs w:val="32"/>
        </w:rPr>
      </w:pPr>
      <w:r>
        <w:rPr>
          <w:rFonts w:hint="eastAsia" w:ascii="仿宋" w:hAnsi="仿宋" w:eastAsia="仿宋"/>
          <w:sz w:val="32"/>
          <w:szCs w:val="32"/>
        </w:rPr>
        <w:t>需填报《教师系列专业技术岗位竞聘情况一览表》</w:t>
      </w:r>
      <w:r>
        <w:rPr>
          <w:rFonts w:hint="eastAsia" w:ascii="仿宋" w:hAnsi="仿宋" w:eastAsia="仿宋"/>
          <w:color w:val="000000"/>
          <w:sz w:val="32"/>
          <w:szCs w:val="32"/>
        </w:rPr>
        <w:t>(A3纸双面打印)25份（</w:t>
      </w:r>
      <w:r>
        <w:rPr>
          <w:rFonts w:hint="eastAsia" w:ascii="仿宋" w:hAnsi="仿宋" w:eastAsia="仿宋"/>
          <w:sz w:val="32"/>
          <w:szCs w:val="32"/>
        </w:rPr>
        <w:t>其中两份需贴两寸彩色照片后复印</w:t>
      </w:r>
      <w:r>
        <w:rPr>
          <w:rFonts w:hint="eastAsia" w:ascii="仿宋" w:hAnsi="仿宋" w:eastAsia="仿宋"/>
          <w:color w:val="000000"/>
          <w:sz w:val="32"/>
          <w:szCs w:val="32"/>
        </w:rPr>
        <w:t>）</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（二）申报辅助系列</w:t>
      </w:r>
    </w:p>
    <w:p>
      <w:pPr>
        <w:ind w:firstLine="640" w:firstLineChars="200"/>
        <w:rPr>
          <w:rFonts w:ascii="仿宋" w:hAnsi="仿宋" w:eastAsia="仿宋"/>
          <w:sz w:val="32"/>
          <w:szCs w:val="32"/>
        </w:rPr>
      </w:pPr>
      <w:r>
        <w:rPr>
          <w:rFonts w:hint="eastAsia" w:ascii="仿宋" w:hAnsi="仿宋" w:eastAsia="仿宋"/>
          <w:sz w:val="32"/>
          <w:szCs w:val="32"/>
        </w:rPr>
        <w:t>需填报《辅助系列专业技术岗位竞聘情况一览表》（A3纸双面打印）25份</w:t>
      </w:r>
      <w:r>
        <w:rPr>
          <w:rFonts w:hint="eastAsia" w:ascii="仿宋" w:hAnsi="仿宋" w:eastAsia="仿宋"/>
          <w:color w:val="000000"/>
          <w:sz w:val="32"/>
          <w:szCs w:val="32"/>
        </w:rPr>
        <w:t>（</w:t>
      </w:r>
      <w:r>
        <w:rPr>
          <w:rFonts w:hint="eastAsia" w:ascii="仿宋" w:hAnsi="仿宋" w:eastAsia="仿宋"/>
          <w:sz w:val="32"/>
          <w:szCs w:val="32"/>
        </w:rPr>
        <w:t>其中两份需贴两寸彩色照片后复印</w:t>
      </w:r>
      <w:r>
        <w:rPr>
          <w:rFonts w:hint="eastAsia" w:ascii="仿宋" w:hAnsi="仿宋" w:eastAsia="仿宋"/>
          <w:color w:val="000000"/>
          <w:sz w:val="32"/>
          <w:szCs w:val="32"/>
        </w:rPr>
        <w:t>）</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（三）申报教练员系列</w:t>
      </w:r>
    </w:p>
    <w:p>
      <w:pPr>
        <w:ind w:firstLine="640" w:firstLineChars="200"/>
        <w:rPr>
          <w:rFonts w:ascii="仿宋" w:hAnsi="仿宋" w:eastAsia="仿宋"/>
          <w:sz w:val="32"/>
          <w:szCs w:val="32"/>
        </w:rPr>
      </w:pPr>
      <w:r>
        <w:rPr>
          <w:rFonts w:hint="eastAsia" w:ascii="仿宋" w:hAnsi="仿宋" w:eastAsia="仿宋"/>
          <w:sz w:val="32"/>
          <w:szCs w:val="32"/>
        </w:rPr>
        <w:t>《教练员系列专业技术岗位竞聘情况一览表》（A3纸打印）25份。</w:t>
      </w:r>
    </w:p>
    <w:p>
      <w:pPr>
        <w:ind w:firstLine="640" w:firstLineChars="200"/>
        <w:rPr>
          <w:rFonts w:ascii="仿宋" w:hAnsi="仿宋" w:eastAsia="仿宋"/>
          <w:sz w:val="32"/>
          <w:szCs w:val="32"/>
        </w:rPr>
      </w:pPr>
      <w:r>
        <w:rPr>
          <w:rFonts w:hint="eastAsia" w:ascii="仿宋" w:hAnsi="仿宋" w:eastAsia="仿宋"/>
          <w:sz w:val="32"/>
          <w:szCs w:val="32"/>
        </w:rPr>
        <w:t>（四）转系列评聘</w:t>
      </w:r>
    </w:p>
    <w:p>
      <w:pPr>
        <w:ind w:firstLine="640" w:firstLineChars="200"/>
        <w:rPr>
          <w:rFonts w:ascii="仿宋" w:hAnsi="仿宋" w:eastAsia="仿宋"/>
          <w:sz w:val="32"/>
          <w:szCs w:val="32"/>
        </w:rPr>
      </w:pPr>
      <w:r>
        <w:rPr>
          <w:rFonts w:hint="eastAsia" w:ascii="仿宋" w:hAnsi="仿宋" w:eastAsia="仿宋"/>
          <w:sz w:val="32"/>
          <w:szCs w:val="32"/>
        </w:rPr>
        <w:t>转系列人员提交相应拟转系列一览表25份。</w:t>
      </w:r>
    </w:p>
    <w:p>
      <w:pPr>
        <w:ind w:firstLine="643" w:firstLineChars="200"/>
        <w:rPr>
          <w:rFonts w:ascii="仿宋" w:hAnsi="仿宋" w:eastAsia="仿宋"/>
          <w:b/>
          <w:sz w:val="32"/>
          <w:szCs w:val="32"/>
        </w:rPr>
      </w:pPr>
      <w:r>
        <w:rPr>
          <w:rFonts w:hint="eastAsia" w:ascii="仿宋" w:hAnsi="仿宋" w:eastAsia="仿宋"/>
          <w:b/>
          <w:sz w:val="32"/>
          <w:szCs w:val="32"/>
        </w:rPr>
        <w:t>二、提供证件</w:t>
      </w:r>
    </w:p>
    <w:p>
      <w:pPr>
        <w:ind w:firstLine="640" w:firstLineChars="200"/>
        <w:rPr>
          <w:rFonts w:ascii="仿宋" w:hAnsi="仿宋" w:eastAsia="仿宋"/>
          <w:sz w:val="32"/>
          <w:szCs w:val="32"/>
        </w:rPr>
      </w:pPr>
      <w:r>
        <w:rPr>
          <w:rFonts w:hint="eastAsia" w:ascii="仿宋" w:hAnsi="仿宋" w:eastAsia="仿宋"/>
          <w:sz w:val="32"/>
          <w:szCs w:val="32"/>
        </w:rPr>
        <w:t>最高学历、学位证书，现专业技术职务资格证，高校教师资格证，岗前培训合格证。非国民教育序列毕业证书（如党校、干部函授大学等证书）不予承认。</w:t>
      </w:r>
    </w:p>
    <w:p>
      <w:pPr>
        <w:ind w:firstLine="643" w:firstLineChars="200"/>
        <w:rPr>
          <w:rFonts w:ascii="仿宋" w:hAnsi="仿宋" w:eastAsia="仿宋"/>
          <w:b/>
          <w:sz w:val="32"/>
          <w:szCs w:val="32"/>
        </w:rPr>
      </w:pPr>
      <w:r>
        <w:rPr>
          <w:rFonts w:hint="eastAsia" w:ascii="仿宋" w:hAnsi="仿宋" w:eastAsia="仿宋"/>
          <w:b/>
          <w:sz w:val="32"/>
          <w:szCs w:val="32"/>
        </w:rPr>
        <w:t>三、科研成果</w:t>
      </w:r>
    </w:p>
    <w:p>
      <w:pPr>
        <w:ind w:firstLine="640" w:firstLineChars="200"/>
        <w:rPr>
          <w:rFonts w:ascii="仿宋" w:hAnsi="仿宋" w:eastAsia="仿宋"/>
          <w:sz w:val="32"/>
          <w:szCs w:val="32"/>
        </w:rPr>
      </w:pPr>
      <w:r>
        <w:rPr>
          <w:rFonts w:hint="eastAsia" w:ascii="仿宋" w:hAnsi="仿宋" w:eastAsia="仿宋"/>
          <w:sz w:val="32"/>
          <w:szCs w:val="32"/>
        </w:rPr>
        <w:t>申报职称人员须提交任现职期间反映本人最高学术水平的论文、著作、教材、科研课题、科研获奖、专利等科研成果。</w:t>
      </w:r>
    </w:p>
    <w:p>
      <w:pPr>
        <w:ind w:firstLine="640" w:firstLineChars="200"/>
        <w:rPr>
          <w:rFonts w:ascii="仿宋" w:hAnsi="仿宋" w:eastAsia="仿宋"/>
          <w:sz w:val="32"/>
          <w:szCs w:val="32"/>
        </w:rPr>
      </w:pPr>
      <w:r>
        <w:rPr>
          <w:rFonts w:hint="eastAsia" w:ascii="仿宋" w:hAnsi="仿宋" w:eastAsia="仿宋"/>
          <w:sz w:val="32"/>
          <w:szCs w:val="32"/>
        </w:rPr>
        <w:t>（一）申报正高职称人员提交不超过十项，</w:t>
      </w:r>
      <w:r>
        <w:rPr>
          <w:rFonts w:hint="eastAsia" w:ascii="仿宋" w:hAnsi="仿宋" w:eastAsia="仿宋" w:cs="宋体"/>
          <w:kern w:val="0"/>
          <w:sz w:val="32"/>
          <w:szCs w:val="32"/>
        </w:rPr>
        <w:t>在本专业正规学术期刊正刊独立或首位发表本专业论文4篇（含编著书籍任主编），其中在核心期刊至少发表本专业论文2篇；或主持并完成省部级课题1项；或参与并完成国家级（前五位）课题1项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（二）申报副高职称人员提交不超过七项，</w:t>
      </w:r>
      <w:r>
        <w:rPr>
          <w:rFonts w:hint="eastAsia" w:ascii="仿宋" w:hAnsi="仿宋" w:eastAsia="仿宋" w:cs="宋体"/>
          <w:kern w:val="0"/>
          <w:sz w:val="32"/>
          <w:szCs w:val="32"/>
        </w:rPr>
        <w:t>在本专业正规学术期刊正刊独立或首位发表本专业论文3篇（含编著书籍任主编），其中在核心期刊至少发表本专业论文1篇；或主持并完成厅局级课题1项；或参与并完成省部级（含）以上（前三位）课题1项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（三）申报中级职称人员提交不超过五项，</w:t>
      </w:r>
      <w:r>
        <w:rPr>
          <w:rFonts w:hint="eastAsia" w:ascii="仿宋" w:hAnsi="仿宋" w:eastAsia="仿宋" w:cs="宋体"/>
          <w:kern w:val="0"/>
          <w:sz w:val="32"/>
          <w:szCs w:val="32"/>
        </w:rPr>
        <w:t>在本专业正规学术期刊独立或首位发表本专业论文2篇；或主持并完成院级课题1项；或参与并完成厅局级（含）以上（前三位）课题1项。</w:t>
      </w:r>
    </w:p>
    <w:p>
      <w:pPr>
        <w:ind w:firstLine="640" w:firstLineChars="200"/>
        <w:rPr>
          <w:rFonts w:ascii="仿宋" w:hAnsi="仿宋" w:eastAsia="仿宋"/>
          <w:sz w:val="32"/>
          <w:szCs w:val="32"/>
        </w:rPr>
      </w:pPr>
      <w:r>
        <w:rPr>
          <w:rFonts w:hint="eastAsia" w:ascii="仿宋" w:hAnsi="仿宋" w:eastAsia="仿宋"/>
          <w:bCs/>
          <w:sz w:val="32"/>
          <w:szCs w:val="32"/>
        </w:rPr>
        <w:t>以上提交的科研成果中，</w:t>
      </w:r>
      <w:r>
        <w:rPr>
          <w:rFonts w:hint="eastAsia" w:ascii="仿宋" w:hAnsi="仿宋" w:eastAsia="仿宋"/>
          <w:sz w:val="32"/>
          <w:szCs w:val="32"/>
        </w:rPr>
        <w:t>论文、著作、教材以外的材料</w:t>
      </w:r>
      <w:r>
        <w:rPr>
          <w:rFonts w:hint="eastAsia" w:ascii="仿宋" w:hAnsi="仿宋" w:eastAsia="仿宋"/>
          <w:bCs/>
          <w:sz w:val="32"/>
          <w:szCs w:val="32"/>
        </w:rPr>
        <w:t>不得超过三项</w:t>
      </w:r>
      <w:r>
        <w:rPr>
          <w:rFonts w:hint="eastAsia" w:ascii="仿宋" w:hAnsi="仿宋" w:eastAsia="仿宋"/>
          <w:sz w:val="32"/>
          <w:szCs w:val="32"/>
        </w:rPr>
        <w:t>（获奖与成果不重复计算）。</w:t>
      </w:r>
    </w:p>
    <w:p>
      <w:pPr>
        <w:ind w:firstLine="643" w:firstLineChars="200"/>
        <w:rPr>
          <w:rFonts w:ascii="仿宋" w:hAnsi="仿宋" w:eastAsia="仿宋"/>
          <w:b/>
          <w:sz w:val="32"/>
          <w:szCs w:val="32"/>
        </w:rPr>
      </w:pPr>
      <w:r>
        <w:rPr>
          <w:rFonts w:hint="eastAsia" w:ascii="仿宋" w:hAnsi="仿宋" w:eastAsia="仿宋"/>
          <w:b/>
          <w:sz w:val="32"/>
          <w:szCs w:val="32"/>
        </w:rPr>
        <w:t>四、其它材料</w:t>
      </w:r>
    </w:p>
    <w:p>
      <w:pPr>
        <w:ind w:firstLine="640" w:firstLineChars="200"/>
        <w:rPr>
          <w:rFonts w:ascii="仿宋" w:hAnsi="仿宋" w:eastAsia="仿宋"/>
          <w:sz w:val="32"/>
          <w:szCs w:val="32"/>
        </w:rPr>
      </w:pPr>
      <w:r>
        <w:rPr>
          <w:rFonts w:hint="eastAsia" w:ascii="仿宋" w:hAnsi="仿宋" w:eastAsia="仿宋"/>
          <w:sz w:val="32"/>
          <w:szCs w:val="32"/>
        </w:rPr>
        <w:t>其它综合类获奖证书、竞赛成绩证书、业务贡献及资历材料。</w:t>
      </w:r>
    </w:p>
    <w:p>
      <w:pPr>
        <w:ind w:firstLine="640" w:firstLineChars="200"/>
        <w:rPr>
          <w:rFonts w:ascii="仿宋" w:hAnsi="仿宋" w:eastAsia="仿宋"/>
          <w:sz w:val="32"/>
          <w:szCs w:val="32"/>
        </w:rPr>
      </w:pPr>
      <w:r>
        <w:rPr>
          <w:rFonts w:hint="eastAsia" w:ascii="仿宋" w:hAnsi="仿宋" w:eastAsia="仿宋"/>
          <w:sz w:val="32"/>
          <w:szCs w:val="32"/>
        </w:rPr>
        <w:t>上述“提供证件、科研成果、其它材料”中，著作（含出版合同、采购发票）、课题（含立项、结题材料）提供原件；剩余材料全部提供原件及复印件（论文复印刊物封面、目录及原文），审核后原件退回。</w:t>
      </w:r>
    </w:p>
    <w:p>
      <w:pPr>
        <w:ind w:firstLine="643" w:firstLineChars="200"/>
        <w:rPr>
          <w:rFonts w:ascii="仿宋" w:hAnsi="仿宋" w:eastAsia="仿宋"/>
          <w:b/>
          <w:sz w:val="32"/>
          <w:szCs w:val="32"/>
        </w:rPr>
      </w:pPr>
      <w:r>
        <w:rPr>
          <w:rFonts w:hint="eastAsia" w:ascii="仿宋" w:hAnsi="仿宋" w:eastAsia="仿宋"/>
          <w:b/>
          <w:sz w:val="32"/>
          <w:szCs w:val="32"/>
        </w:rPr>
        <w:t>五、报送要求</w:t>
      </w:r>
    </w:p>
    <w:p>
      <w:pPr>
        <w:ind w:firstLine="640" w:firstLineChars="200"/>
        <w:rPr>
          <w:rFonts w:ascii="仿宋" w:hAnsi="仿宋" w:eastAsia="仿宋"/>
          <w:sz w:val="32"/>
          <w:szCs w:val="32"/>
        </w:rPr>
      </w:pPr>
      <w:r>
        <w:rPr>
          <w:rFonts w:hint="eastAsia" w:ascii="仿宋" w:hAnsi="仿宋" w:eastAsia="仿宋"/>
          <w:sz w:val="32"/>
          <w:szCs w:val="32"/>
        </w:rPr>
        <w:t>（一）评审表格的填写要规范、准确无误。</w:t>
      </w:r>
    </w:p>
    <w:p>
      <w:pPr>
        <w:ind w:firstLine="640" w:firstLineChars="200"/>
        <w:rPr>
          <w:rFonts w:ascii="仿宋" w:hAnsi="仿宋" w:eastAsia="仿宋"/>
          <w:sz w:val="32"/>
          <w:szCs w:val="32"/>
        </w:rPr>
      </w:pPr>
      <w:r>
        <w:rPr>
          <w:rFonts w:hint="eastAsia" w:ascii="仿宋" w:hAnsi="仿宋" w:eastAsia="仿宋"/>
          <w:sz w:val="32"/>
          <w:szCs w:val="32"/>
        </w:rPr>
        <w:t>（二）应在“任现职以来工作业绩综述”栏的最后填写如下承诺语：“本人承诺：所提供的个人信息和证明材料真实准确，对因提供有关信息、证件不实或违反有关规定造成的后果，责任自负。”，并本人亲笔签名。</w:t>
      </w:r>
    </w:p>
    <w:p>
      <w:pPr>
        <w:ind w:firstLine="640" w:firstLineChars="200"/>
        <w:rPr>
          <w:rFonts w:ascii="仿宋" w:hAnsi="仿宋" w:eastAsia="仿宋"/>
          <w:sz w:val="32"/>
          <w:szCs w:val="32"/>
        </w:rPr>
      </w:pPr>
      <w:r>
        <w:rPr>
          <w:rFonts w:hint="eastAsia" w:ascii="仿宋" w:hAnsi="仿宋" w:eastAsia="仿宋"/>
          <w:sz w:val="32"/>
          <w:szCs w:val="32"/>
        </w:rPr>
        <w:t>（三）格式要求</w:t>
      </w:r>
    </w:p>
    <w:p>
      <w:pPr>
        <w:ind w:firstLine="640" w:firstLineChars="200"/>
        <w:rPr>
          <w:rFonts w:ascii="仿宋" w:hAnsi="仿宋" w:eastAsia="仿宋"/>
          <w:sz w:val="32"/>
          <w:szCs w:val="32"/>
        </w:rPr>
      </w:pPr>
      <w:r>
        <w:rPr>
          <w:rFonts w:hint="eastAsia" w:ascii="仿宋" w:hAnsi="仿宋" w:eastAsia="仿宋"/>
          <w:sz w:val="32"/>
          <w:szCs w:val="32"/>
        </w:rPr>
        <w:t>1.所有评审表格中的时间格式均为年份四位，月份两位（xxxx.xx），填写的内容均用仿宋字体。</w:t>
      </w:r>
    </w:p>
    <w:p>
      <w:pPr>
        <w:ind w:firstLine="640" w:firstLineChars="200"/>
        <w:rPr>
          <w:rFonts w:ascii="仿宋" w:hAnsi="仿宋" w:eastAsia="仿宋"/>
          <w:sz w:val="32"/>
          <w:szCs w:val="32"/>
        </w:rPr>
      </w:pPr>
      <w:r>
        <w:rPr>
          <w:rFonts w:hint="eastAsia" w:ascii="仿宋" w:hAnsi="仿宋" w:eastAsia="仿宋"/>
          <w:sz w:val="32"/>
          <w:szCs w:val="32"/>
        </w:rPr>
        <w:t>2.评审表格中所填写的内容，如成果题目、获奖名称、毕业时间、任职时间等，须与提交的材料、证书等原件内容完全一致。</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在纸质材料首页标注材料序号，且需要与一览表填写的材料序号对应一致。</w:t>
      </w:r>
    </w:p>
    <w:p>
      <w:pPr>
        <w:widowControl/>
        <w:ind w:firstLine="640" w:firstLineChars="200"/>
        <w:jc w:val="left"/>
        <w:rPr>
          <w:rFonts w:ascii="仿宋" w:hAnsi="仿宋" w:eastAsia="仿宋"/>
          <w:sz w:val="32"/>
          <w:szCs w:val="32"/>
        </w:rPr>
      </w:pPr>
      <w:r>
        <w:rPr>
          <w:rFonts w:hint="eastAsia" w:ascii="仿宋" w:hAnsi="仿宋" w:eastAsia="仿宋"/>
          <w:sz w:val="32"/>
          <w:szCs w:val="32"/>
        </w:rPr>
        <w:t>（四）各系列一览表需经师德考核民主测评部门审核后加盖公章报送。</w:t>
      </w:r>
    </w:p>
    <w:p>
      <w:pPr>
        <w:widowControl/>
        <w:jc w:val="left"/>
        <w:rPr>
          <w:rFonts w:ascii="仿宋" w:hAnsi="仿宋" w:eastAsia="仿宋"/>
          <w:sz w:val="32"/>
          <w:szCs w:val="32"/>
        </w:rPr>
      </w:pPr>
      <w:r>
        <w:rPr>
          <w:rFonts w:ascii="仿宋" w:hAnsi="仿宋" w:eastAsia="仿宋"/>
          <w:sz w:val="32"/>
          <w:szCs w:val="32"/>
        </w:rPr>
        <w:br w:type="page"/>
      </w:r>
    </w:p>
    <w:p>
      <w:pPr>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5</w:t>
      </w:r>
    </w:p>
    <w:p>
      <w:pPr>
        <w:jc w:val="center"/>
        <w:rPr>
          <w:rFonts w:ascii="宋体" w:hAnsi="宋体" w:eastAsia="宋体"/>
          <w:b/>
          <w:sz w:val="44"/>
          <w:szCs w:val="44"/>
        </w:rPr>
      </w:pPr>
      <w:r>
        <w:rPr>
          <w:rFonts w:hint="eastAsia" w:ascii="宋体" w:hAnsi="宋体" w:eastAsia="宋体"/>
          <w:b/>
          <w:sz w:val="44"/>
          <w:szCs w:val="44"/>
        </w:rPr>
        <w:t>201</w:t>
      </w:r>
      <w:r>
        <w:rPr>
          <w:rFonts w:ascii="宋体" w:hAnsi="宋体" w:eastAsia="宋体"/>
          <w:b/>
          <w:sz w:val="44"/>
          <w:szCs w:val="44"/>
        </w:rPr>
        <w:t>9</w:t>
      </w:r>
      <w:r>
        <w:rPr>
          <w:rFonts w:hint="eastAsia" w:ascii="宋体" w:hAnsi="宋体" w:eastAsia="宋体"/>
          <w:b/>
          <w:sz w:val="44"/>
          <w:szCs w:val="44"/>
        </w:rPr>
        <w:t>年度专业技术岗位评聘</w:t>
      </w:r>
    </w:p>
    <w:p>
      <w:pPr>
        <w:jc w:val="center"/>
        <w:rPr>
          <w:rFonts w:ascii="宋体" w:hAnsi="宋体" w:eastAsia="宋体"/>
          <w:b/>
          <w:sz w:val="44"/>
          <w:szCs w:val="44"/>
        </w:rPr>
      </w:pPr>
      <w:r>
        <w:rPr>
          <w:rFonts w:hint="eastAsia" w:ascii="宋体" w:hAnsi="宋体" w:eastAsia="宋体"/>
          <w:b/>
          <w:sz w:val="44"/>
          <w:szCs w:val="44"/>
        </w:rPr>
        <w:t>学术检索事项说明</w:t>
      </w:r>
    </w:p>
    <w:p>
      <w:pPr>
        <w:spacing w:line="600" w:lineRule="exact"/>
        <w:rPr>
          <w:rFonts w:ascii="仿宋" w:hAnsi="仿宋" w:eastAsia="仿宋"/>
          <w:sz w:val="32"/>
          <w:szCs w:val="32"/>
        </w:rPr>
      </w:pPr>
      <w:r>
        <w:rPr>
          <w:rFonts w:hint="eastAsia" w:ascii="仿宋" w:hAnsi="仿宋" w:eastAsia="仿宋"/>
          <w:sz w:val="32"/>
          <w:szCs w:val="32"/>
        </w:rPr>
        <w:t>各申报人员:</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现就201</w:t>
      </w:r>
      <w:r>
        <w:rPr>
          <w:rFonts w:ascii="仿宋" w:hAnsi="仿宋" w:eastAsia="仿宋"/>
          <w:sz w:val="32"/>
          <w:szCs w:val="32"/>
        </w:rPr>
        <w:t>9</w:t>
      </w:r>
      <w:r>
        <w:rPr>
          <w:rFonts w:hint="eastAsia" w:ascii="仿宋" w:hAnsi="仿宋" w:eastAsia="仿宋"/>
          <w:sz w:val="32"/>
          <w:szCs w:val="32"/>
        </w:rPr>
        <w:t>年我校专业技术岗位评聘学术检索工作有关事项说明如下：</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一、凡申报高级专业技术岗位（教练员系列除外），申报人提交的论文、著作均须已经公开发表，由学校到学术检索机构出具学术检索报告。</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二、论文（中文、外文）须做重合率检测，著作只查真伪，不做重合率检测。</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论文须符合以下学术检索要求方可作为申报材料提交：论文重合率（即总文字复制比）不超过30%，且单篇最大文字复制比不超过20%。论文检测结果中与申报者本人的会议论文或学位论文重合的部分，不计算重合率（与申报者本人指导研究生的学位论文重复部分计算重合率）。</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对外文论文和新近发表尚未收录入库的中文论文，应通过论文电子版（pdf或word格式）进行检索，电子版板式、格式必须和公开发表的期刊版全文板式、格式完全一致。各部门负责对本部门申报人提供的论文电子版进行核对并出具审核证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按照以往惯例，竞聘教师系列正高级专业技术岗位人员和竞聘辅助系列副高级及以上专业技术岗位人员至少提交3项论文、著作进行检索，检索合格方可申报使用；其他竞聘人员至少检索1项，检索合格方可申报使用。教练员系列不进行检索。申报人不符合学术检索要求的论文、著作不再进行材料替换。</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六、检索时间范围限定以原文收稿时间（未注明收稿时间以出版时间）为限，往前回溯检索至数据库起始收录时间。</w:t>
      </w:r>
    </w:p>
    <w:p>
      <w:pPr>
        <w:widowControl/>
        <w:ind w:firstLine="640" w:firstLineChars="200"/>
        <w:jc w:val="left"/>
        <w:rPr>
          <w:rFonts w:ascii="仿宋" w:hAnsi="仿宋" w:eastAsia="仿宋" w:cs="仿宋_GB2312"/>
          <w:sz w:val="32"/>
          <w:szCs w:val="32"/>
        </w:rPr>
      </w:pPr>
      <w:r>
        <w:rPr>
          <w:rFonts w:hint="eastAsia" w:ascii="仿宋" w:hAnsi="仿宋" w:eastAsia="仿宋"/>
          <w:sz w:val="32"/>
          <w:szCs w:val="32"/>
        </w:rPr>
        <w:t>七、会议论文不得作为学术检索项目提交。</w:t>
      </w:r>
    </w:p>
    <w:p>
      <w:pPr>
        <w:widowControl/>
        <w:jc w:val="left"/>
        <w:rPr>
          <w:rFonts w:ascii="仿宋" w:hAnsi="仿宋" w:eastAsia="仿宋" w:cs="仿宋_GB2312"/>
          <w:sz w:val="32"/>
          <w:szCs w:val="32"/>
        </w:rPr>
      </w:pPr>
      <w:r>
        <w:rPr>
          <w:rFonts w:ascii="仿宋" w:hAnsi="仿宋" w:eastAsia="仿宋" w:cs="仿宋_GB2312"/>
          <w:sz w:val="32"/>
          <w:szCs w:val="32"/>
        </w:rPr>
        <w:br w:type="page"/>
      </w:r>
    </w:p>
    <w:p>
      <w:pPr>
        <w:widowControl/>
        <w:jc w:val="left"/>
        <w:rPr>
          <w:rFonts w:ascii="仿宋" w:hAnsi="仿宋" w:eastAsia="仿宋" w:cs="仿宋_GB2312"/>
          <w:sz w:val="32"/>
          <w:szCs w:val="32"/>
        </w:rPr>
      </w:pPr>
      <w:r>
        <w:rPr>
          <w:rFonts w:hint="eastAsia" w:ascii="仿宋" w:hAnsi="仿宋" w:eastAsia="仿宋" w:cs="仿宋_GB2312"/>
          <w:sz w:val="32"/>
          <w:szCs w:val="32"/>
        </w:rPr>
        <w:t>附件7:</w:t>
      </w:r>
    </w:p>
    <w:p>
      <w:pPr>
        <w:jc w:val="center"/>
        <w:rPr>
          <w:rFonts w:asciiTheme="minorEastAsia" w:hAnsiTheme="minorEastAsia"/>
          <w:b/>
          <w:sz w:val="44"/>
          <w:szCs w:val="44"/>
        </w:rPr>
      </w:pPr>
      <w:bookmarkStart w:id="1" w:name="_Hlk26448196"/>
      <w:r>
        <w:rPr>
          <w:rFonts w:hint="eastAsia" w:asciiTheme="minorEastAsia" w:hAnsiTheme="minorEastAsia"/>
          <w:b/>
          <w:sz w:val="44"/>
          <w:szCs w:val="44"/>
        </w:rPr>
        <w:t>2</w:t>
      </w:r>
      <w:r>
        <w:rPr>
          <w:rFonts w:asciiTheme="minorEastAsia" w:hAnsiTheme="minorEastAsia"/>
          <w:b/>
          <w:sz w:val="44"/>
          <w:szCs w:val="44"/>
        </w:rPr>
        <w:t>019</w:t>
      </w:r>
      <w:r>
        <w:rPr>
          <w:rFonts w:hint="eastAsia" w:asciiTheme="minorEastAsia" w:hAnsiTheme="minorEastAsia"/>
          <w:b/>
          <w:sz w:val="44"/>
          <w:szCs w:val="44"/>
        </w:rPr>
        <w:t>年度专业技术岗位评聘说课工作安排</w:t>
      </w:r>
      <w:bookmarkEnd w:id="1"/>
    </w:p>
    <w:p>
      <w:pPr>
        <w:ind w:firstLine="640" w:firstLineChars="200"/>
        <w:rPr>
          <w:rFonts w:ascii="仿宋" w:hAnsi="仿宋" w:eastAsia="仿宋"/>
          <w:sz w:val="32"/>
          <w:szCs w:val="32"/>
        </w:rPr>
      </w:pPr>
      <w:r>
        <w:rPr>
          <w:rFonts w:hint="eastAsia" w:ascii="仿宋" w:hAnsi="仿宋" w:eastAsia="仿宋"/>
          <w:sz w:val="32"/>
          <w:szCs w:val="32"/>
        </w:rPr>
        <w:t>为准确把握教师教学效果，体现教师教学水平，经研究决定，开展201</w:t>
      </w:r>
      <w:r>
        <w:rPr>
          <w:rFonts w:ascii="仿宋" w:hAnsi="仿宋" w:eastAsia="仿宋"/>
          <w:sz w:val="32"/>
          <w:szCs w:val="32"/>
        </w:rPr>
        <w:t>9</w:t>
      </w:r>
      <w:r>
        <w:rPr>
          <w:rFonts w:hint="eastAsia" w:ascii="仿宋" w:hAnsi="仿宋" w:eastAsia="仿宋"/>
          <w:sz w:val="32"/>
          <w:szCs w:val="32"/>
        </w:rPr>
        <w:t>年度专业技术岗位评聘说课工作，现将相关工作安排通知如下：</w:t>
      </w:r>
    </w:p>
    <w:p>
      <w:pPr>
        <w:ind w:firstLine="643" w:firstLineChars="200"/>
        <w:rPr>
          <w:rFonts w:ascii="仿宋" w:hAnsi="仿宋" w:eastAsia="仿宋"/>
          <w:b/>
          <w:sz w:val="32"/>
          <w:szCs w:val="32"/>
        </w:rPr>
      </w:pPr>
      <w:r>
        <w:rPr>
          <w:rFonts w:hint="eastAsia" w:ascii="仿宋" w:hAnsi="仿宋" w:eastAsia="仿宋"/>
          <w:b/>
          <w:sz w:val="32"/>
          <w:szCs w:val="32"/>
        </w:rPr>
        <w:t>一、参加说课人员范围</w:t>
      </w:r>
    </w:p>
    <w:p>
      <w:pPr>
        <w:ind w:firstLine="640" w:firstLineChars="200"/>
        <w:rPr>
          <w:rFonts w:ascii="仿宋" w:hAnsi="仿宋" w:eastAsia="仿宋"/>
          <w:sz w:val="32"/>
          <w:szCs w:val="32"/>
        </w:rPr>
      </w:pPr>
      <w:r>
        <w:rPr>
          <w:rFonts w:hint="eastAsia" w:ascii="仿宋" w:hAnsi="仿宋" w:eastAsia="仿宋"/>
          <w:sz w:val="32"/>
          <w:szCs w:val="32"/>
        </w:rPr>
        <w:t>申报201</w:t>
      </w:r>
      <w:r>
        <w:rPr>
          <w:rFonts w:ascii="仿宋" w:hAnsi="仿宋" w:eastAsia="仿宋"/>
          <w:sz w:val="32"/>
          <w:szCs w:val="32"/>
        </w:rPr>
        <w:t>9</w:t>
      </w:r>
      <w:r>
        <w:rPr>
          <w:rFonts w:hint="eastAsia" w:ascii="仿宋" w:hAnsi="仿宋" w:eastAsia="仿宋"/>
          <w:sz w:val="32"/>
          <w:szCs w:val="32"/>
        </w:rPr>
        <w:t>年度教师系列高级专业技术岗位评聘（含正、副高）人员参加学校组织的说课；中级专业技术岗位评聘人员说课由二级学院组织。</w:t>
      </w:r>
    </w:p>
    <w:p>
      <w:pPr>
        <w:ind w:firstLine="643" w:firstLineChars="200"/>
        <w:rPr>
          <w:rFonts w:ascii="仿宋" w:hAnsi="仿宋" w:eastAsia="仿宋"/>
          <w:b/>
          <w:sz w:val="32"/>
          <w:szCs w:val="32"/>
        </w:rPr>
      </w:pPr>
      <w:r>
        <w:rPr>
          <w:rFonts w:hint="eastAsia" w:ascii="仿宋" w:hAnsi="仿宋" w:eastAsia="仿宋"/>
          <w:b/>
          <w:sz w:val="32"/>
          <w:szCs w:val="32"/>
        </w:rPr>
        <w:t>二、说课时间</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020</w:t>
      </w:r>
      <w:r>
        <w:rPr>
          <w:rFonts w:hint="eastAsia" w:ascii="仿宋" w:hAnsi="仿宋" w:eastAsia="仿宋"/>
          <w:sz w:val="32"/>
          <w:szCs w:val="32"/>
        </w:rPr>
        <w:t>年</w:t>
      </w:r>
      <w:r>
        <w:rPr>
          <w:rFonts w:ascii="仿宋" w:hAnsi="仿宋" w:eastAsia="仿宋"/>
          <w:sz w:val="32"/>
          <w:szCs w:val="32"/>
        </w:rPr>
        <w:t>1</w:t>
      </w:r>
      <w:r>
        <w:rPr>
          <w:rFonts w:hint="eastAsia" w:ascii="仿宋" w:hAnsi="仿宋" w:eastAsia="仿宋"/>
          <w:sz w:val="32"/>
          <w:szCs w:val="32"/>
        </w:rPr>
        <w:t>月1</w:t>
      </w:r>
      <w:r>
        <w:rPr>
          <w:rFonts w:ascii="仿宋" w:hAnsi="仿宋" w:eastAsia="仿宋"/>
          <w:sz w:val="32"/>
          <w:szCs w:val="32"/>
        </w:rPr>
        <w:t>2</w:t>
      </w:r>
      <w:r>
        <w:rPr>
          <w:rFonts w:hint="eastAsia" w:ascii="仿宋" w:hAnsi="仿宋" w:eastAsia="仿宋"/>
          <w:sz w:val="32"/>
          <w:szCs w:val="32"/>
        </w:rPr>
        <w:t>日前，具体时间另行通知。</w:t>
      </w:r>
    </w:p>
    <w:p>
      <w:pPr>
        <w:ind w:firstLine="643" w:firstLineChars="200"/>
        <w:rPr>
          <w:rFonts w:ascii="仿宋" w:hAnsi="仿宋" w:eastAsia="仿宋"/>
          <w:b/>
          <w:sz w:val="32"/>
          <w:szCs w:val="32"/>
        </w:rPr>
      </w:pPr>
      <w:r>
        <w:rPr>
          <w:rFonts w:hint="eastAsia" w:ascii="仿宋" w:hAnsi="仿宋" w:eastAsia="仿宋"/>
          <w:b/>
          <w:sz w:val="32"/>
          <w:szCs w:val="32"/>
        </w:rPr>
        <w:t>三、说课地点</w:t>
      </w:r>
    </w:p>
    <w:p>
      <w:pPr>
        <w:ind w:firstLine="640" w:firstLineChars="200"/>
        <w:rPr>
          <w:rFonts w:ascii="仿宋" w:hAnsi="仿宋" w:eastAsia="仿宋"/>
          <w:sz w:val="32"/>
          <w:szCs w:val="32"/>
        </w:rPr>
      </w:pPr>
      <w:r>
        <w:rPr>
          <w:rFonts w:hint="eastAsia" w:ascii="仿宋" w:hAnsi="仿宋" w:eastAsia="仿宋"/>
          <w:sz w:val="32"/>
          <w:szCs w:val="32"/>
        </w:rPr>
        <w:t>济南校区，具体地点另行通知。</w:t>
      </w:r>
    </w:p>
    <w:p>
      <w:pPr>
        <w:ind w:firstLine="643" w:firstLineChars="200"/>
        <w:rPr>
          <w:rFonts w:ascii="仿宋" w:hAnsi="仿宋" w:eastAsia="仿宋"/>
          <w:b/>
          <w:sz w:val="32"/>
          <w:szCs w:val="32"/>
        </w:rPr>
      </w:pPr>
      <w:r>
        <w:rPr>
          <w:rFonts w:hint="eastAsia" w:ascii="仿宋" w:hAnsi="仿宋" w:eastAsia="仿宋"/>
          <w:b/>
          <w:sz w:val="32"/>
          <w:szCs w:val="32"/>
        </w:rPr>
        <w:t>四、说课要求</w:t>
      </w:r>
    </w:p>
    <w:p>
      <w:pPr>
        <w:ind w:firstLine="640" w:firstLineChars="200"/>
        <w:rPr>
          <w:rFonts w:ascii="仿宋" w:hAnsi="仿宋" w:eastAsia="仿宋"/>
          <w:sz w:val="32"/>
          <w:szCs w:val="32"/>
        </w:rPr>
      </w:pPr>
      <w:r>
        <w:rPr>
          <w:rFonts w:hint="eastAsia" w:ascii="仿宋" w:hAnsi="仿宋" w:eastAsia="仿宋"/>
          <w:sz w:val="32"/>
          <w:szCs w:val="32"/>
        </w:rPr>
        <w:t>（一）参评人员根据本人主讲课程，设计说课内容。</w:t>
      </w:r>
    </w:p>
    <w:p>
      <w:pPr>
        <w:ind w:firstLine="640" w:firstLineChars="200"/>
        <w:rPr>
          <w:rFonts w:ascii="仿宋" w:hAnsi="仿宋" w:eastAsia="仿宋"/>
          <w:sz w:val="32"/>
          <w:szCs w:val="32"/>
        </w:rPr>
      </w:pPr>
      <w:r>
        <w:rPr>
          <w:rFonts w:hint="eastAsia" w:ascii="仿宋" w:hAnsi="仿宋" w:eastAsia="仿宋"/>
          <w:sz w:val="32"/>
          <w:szCs w:val="32"/>
        </w:rPr>
        <w:t>（二）说课要围绕所授课程的教学目标、教学理念、教学内容的选取和组织安排，教学活动的设计、教学方法和手段、教学评价、学生特点等方面进行。</w:t>
      </w:r>
    </w:p>
    <w:p>
      <w:pPr>
        <w:ind w:firstLine="640" w:firstLineChars="200"/>
        <w:rPr>
          <w:rFonts w:ascii="仿宋" w:hAnsi="仿宋" w:eastAsia="仿宋"/>
          <w:sz w:val="32"/>
          <w:szCs w:val="32"/>
        </w:rPr>
      </w:pPr>
      <w:r>
        <w:rPr>
          <w:rFonts w:hint="eastAsia" w:ascii="仿宋" w:hAnsi="仿宋" w:eastAsia="仿宋"/>
          <w:sz w:val="32"/>
          <w:szCs w:val="32"/>
        </w:rPr>
        <w:t>（三）说课要以教学实践为基础，详略得当，重点突出，表现专长，鼓励创新，显示特色；体现教师的教育理论水平、实际教学业务能力和教学组织能力。</w:t>
      </w:r>
    </w:p>
    <w:p>
      <w:pPr>
        <w:ind w:firstLine="640" w:firstLineChars="200"/>
        <w:rPr>
          <w:rFonts w:ascii="仿宋" w:hAnsi="仿宋" w:eastAsia="仿宋"/>
          <w:sz w:val="32"/>
          <w:szCs w:val="32"/>
        </w:rPr>
      </w:pPr>
      <w:r>
        <w:rPr>
          <w:rFonts w:hint="eastAsia" w:ascii="仿宋" w:hAnsi="仿宋" w:eastAsia="仿宋"/>
          <w:sz w:val="32"/>
          <w:szCs w:val="32"/>
        </w:rPr>
        <w:t>（四）说课时间严格控制在15分钟内。可自愿选择是否使用PPT,若使用PPT需提前两天发送至人事处邮箱sdtyxyrsc@163.com并电话确认。</w:t>
      </w:r>
    </w:p>
    <w:p>
      <w:pPr>
        <w:ind w:firstLine="640" w:firstLineChars="200"/>
        <w:rPr>
          <w:rFonts w:ascii="仿宋" w:hAnsi="仿宋" w:eastAsia="仿宋"/>
          <w:sz w:val="32"/>
          <w:szCs w:val="32"/>
        </w:rPr>
      </w:pPr>
      <w:r>
        <w:rPr>
          <w:rFonts w:hint="eastAsia" w:ascii="仿宋" w:hAnsi="仿宋" w:eastAsia="仿宋"/>
          <w:sz w:val="32"/>
          <w:szCs w:val="32"/>
        </w:rPr>
        <w:t>（五）如遇极特殊原因，申报人员无法到达现场说课，需向人事处书面说明原因，可录制15分钟内（时间严格控制）说课录像在说课前两天发送至人事处并确保能够正常播放。说课录像需全程连续录制，不得另行编辑处理，视频大小控制在500M以内。</w:t>
      </w:r>
    </w:p>
    <w:p>
      <w:pPr>
        <w:ind w:firstLine="643" w:firstLineChars="200"/>
        <w:rPr>
          <w:rFonts w:ascii="仿宋" w:hAnsi="仿宋" w:eastAsia="仿宋"/>
          <w:b/>
          <w:sz w:val="32"/>
          <w:szCs w:val="32"/>
        </w:rPr>
      </w:pPr>
      <w:r>
        <w:rPr>
          <w:rFonts w:ascii="仿宋" w:hAnsi="仿宋" w:eastAsia="仿宋"/>
          <w:b/>
          <w:sz w:val="32"/>
          <w:szCs w:val="32"/>
        </w:rPr>
        <w:t>五</w:t>
      </w:r>
      <w:r>
        <w:rPr>
          <w:rFonts w:hint="eastAsia" w:ascii="仿宋" w:hAnsi="仿宋" w:eastAsia="仿宋"/>
          <w:b/>
          <w:sz w:val="32"/>
          <w:szCs w:val="32"/>
        </w:rPr>
        <w:t>、说</w:t>
      </w:r>
      <w:r>
        <w:rPr>
          <w:rFonts w:ascii="仿宋" w:hAnsi="仿宋" w:eastAsia="仿宋"/>
          <w:b/>
          <w:sz w:val="32"/>
          <w:szCs w:val="32"/>
        </w:rPr>
        <w:t>课程序</w:t>
      </w:r>
    </w:p>
    <w:p>
      <w:pPr>
        <w:ind w:firstLine="640" w:firstLineChars="200"/>
        <w:rPr>
          <w:rFonts w:ascii="仿宋" w:hAnsi="仿宋" w:eastAsia="仿宋"/>
          <w:sz w:val="32"/>
          <w:szCs w:val="32"/>
        </w:rPr>
      </w:pPr>
      <w:r>
        <w:rPr>
          <w:rFonts w:hint="eastAsia" w:ascii="仿宋" w:hAnsi="仿宋" w:eastAsia="仿宋"/>
          <w:sz w:val="32"/>
          <w:szCs w:val="32"/>
        </w:rPr>
        <w:t>（一）说课分为学科组和术科组，先进行正高级参评者说课，再进行副高级参评者说课。由全部参评人员在说课前抽签决定顺序，参评人员根据时间提前到达说课地点，依次说课。抽签时间地点另行通知。</w:t>
      </w:r>
    </w:p>
    <w:p>
      <w:pPr>
        <w:ind w:firstLine="640" w:firstLineChars="200"/>
        <w:rPr>
          <w:rFonts w:ascii="仿宋" w:hAnsi="仿宋" w:eastAsia="仿宋"/>
          <w:sz w:val="32"/>
          <w:szCs w:val="32"/>
        </w:rPr>
      </w:pPr>
      <w:r>
        <w:rPr>
          <w:rFonts w:hint="eastAsia" w:ascii="仿宋" w:hAnsi="仿宋" w:eastAsia="仿宋"/>
          <w:sz w:val="32"/>
          <w:szCs w:val="32"/>
        </w:rPr>
        <w:t>（二）由校内外专家组成专家组，对说课进行评价打分。去掉一个最高分，去掉一个最低分，剩余成绩的平均值为该教师说课环节的最终得分。</w:t>
      </w:r>
    </w:p>
    <w:p>
      <w:pPr>
        <w:ind w:firstLine="643" w:firstLineChars="200"/>
        <w:rPr>
          <w:rFonts w:ascii="仿宋" w:hAnsi="仿宋" w:eastAsia="仿宋"/>
          <w:b/>
          <w:sz w:val="32"/>
          <w:szCs w:val="32"/>
        </w:rPr>
      </w:pPr>
      <w:r>
        <w:rPr>
          <w:rFonts w:hint="eastAsia" w:ascii="仿宋" w:hAnsi="仿宋" w:eastAsia="仿宋"/>
          <w:b/>
          <w:sz w:val="32"/>
          <w:szCs w:val="32"/>
        </w:rPr>
        <w:t>六、相关说明</w:t>
      </w:r>
    </w:p>
    <w:p>
      <w:pPr>
        <w:ind w:firstLine="640" w:firstLineChars="200"/>
        <w:rPr>
          <w:rFonts w:ascii="仿宋" w:hAnsi="仿宋" w:eastAsia="仿宋"/>
          <w:sz w:val="32"/>
          <w:szCs w:val="32"/>
        </w:rPr>
      </w:pPr>
      <w:r>
        <w:rPr>
          <w:rFonts w:hint="eastAsia" w:ascii="仿宋" w:hAnsi="仿宋" w:eastAsia="仿宋"/>
          <w:sz w:val="32"/>
          <w:szCs w:val="32"/>
        </w:rPr>
        <w:t>（一）说课成绩占教学效果总分的60%。</w:t>
      </w:r>
    </w:p>
    <w:p>
      <w:pPr>
        <w:ind w:firstLine="640" w:firstLineChars="200"/>
        <w:rPr>
          <w:rFonts w:ascii="仿宋" w:hAnsi="仿宋" w:eastAsia="仿宋"/>
          <w:sz w:val="32"/>
          <w:szCs w:val="32"/>
        </w:rPr>
      </w:pPr>
      <w:r>
        <w:rPr>
          <w:rFonts w:hint="eastAsia" w:ascii="仿宋" w:hAnsi="仿宋" w:eastAsia="仿宋"/>
          <w:sz w:val="32"/>
          <w:szCs w:val="32"/>
        </w:rPr>
        <w:t>（二）不参加集中说课、不提交说课录像或提交的录像无法正常播放的申报人员，说课环节成绩按0分计。</w:t>
      </w:r>
    </w:p>
    <w:p>
      <w:pPr>
        <w:ind w:firstLine="640" w:firstLineChars="200"/>
        <w:rPr>
          <w:rFonts w:ascii="仿宋" w:hAnsi="仿宋" w:eastAsia="仿宋"/>
          <w:sz w:val="32"/>
          <w:szCs w:val="32"/>
        </w:rPr>
      </w:pPr>
      <w:r>
        <w:rPr>
          <w:rFonts w:hint="eastAsia" w:ascii="仿宋" w:hAnsi="仿宋" w:eastAsia="仿宋"/>
          <w:sz w:val="32"/>
          <w:szCs w:val="32"/>
        </w:rPr>
        <w:t>（三）如发现说课录像非全程连续录制或进行了编辑处理，由专家组认定并根据实际情况扣减说课分数。</w:t>
      </w:r>
    </w:p>
    <w:p>
      <w:pPr>
        <w:ind w:firstLine="640" w:firstLineChars="200"/>
        <w:rPr>
          <w:rFonts w:ascii="仿宋" w:hAnsi="仿宋" w:eastAsia="仿宋"/>
          <w:sz w:val="32"/>
          <w:szCs w:val="32"/>
        </w:rPr>
      </w:pPr>
      <w:r>
        <w:rPr>
          <w:rFonts w:hint="eastAsia" w:ascii="仿宋" w:hAnsi="仿宋" w:eastAsia="仿宋"/>
          <w:sz w:val="32"/>
          <w:szCs w:val="32"/>
        </w:rPr>
        <w:t>（四）附属中学可参照本通知安排说课工作。</w:t>
      </w:r>
    </w:p>
    <w:p>
      <w:pPr>
        <w:pStyle w:val="5"/>
        <w:spacing w:before="0" w:beforeAutospacing="0" w:after="0" w:afterAutospacing="0"/>
        <w:jc w:val="center"/>
        <w:rPr>
          <w:rFonts w:ascii="仿宋" w:hAnsi="仿宋" w:eastAsia="仿宋" w:cstheme="minorBidi"/>
          <w:kern w:val="2"/>
          <w:sz w:val="32"/>
          <w:szCs w:val="32"/>
        </w:rPr>
      </w:pPr>
    </w:p>
    <w:p>
      <w:pPr>
        <w:pStyle w:val="5"/>
        <w:spacing w:before="0" w:beforeAutospacing="0" w:after="0" w:afterAutospacing="0"/>
        <w:jc w:val="center"/>
        <w:rPr>
          <w:b/>
          <w:bCs/>
          <w:sz w:val="36"/>
          <w:szCs w:val="36"/>
        </w:rPr>
      </w:pPr>
      <w:r>
        <w:rPr>
          <w:rFonts w:hint="eastAsia"/>
          <w:b/>
          <w:bCs/>
          <w:sz w:val="36"/>
          <w:szCs w:val="36"/>
        </w:rPr>
        <w:t>山东体育学院“说课”评分要素</w:t>
      </w:r>
    </w:p>
    <w:tbl>
      <w:tblPr>
        <w:tblStyle w:val="6"/>
        <w:tblW w:w="8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7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jc w:val="center"/>
        </w:trPr>
        <w:tc>
          <w:tcPr>
            <w:tcW w:w="1209" w:type="dxa"/>
            <w:vAlign w:val="center"/>
          </w:tcPr>
          <w:p>
            <w:pPr>
              <w:spacing w:line="400" w:lineRule="exact"/>
              <w:jc w:val="center"/>
              <w:rPr>
                <w:rFonts w:ascii="仿宋" w:hAnsi="仿宋" w:eastAsia="仿宋"/>
                <w:sz w:val="24"/>
              </w:rPr>
            </w:pPr>
            <w:r>
              <w:rPr>
                <w:rFonts w:hint="eastAsia" w:ascii="仿宋" w:hAnsi="仿宋" w:eastAsia="仿宋"/>
                <w:sz w:val="24"/>
              </w:rPr>
              <w:t>评价指标</w:t>
            </w:r>
          </w:p>
        </w:tc>
        <w:tc>
          <w:tcPr>
            <w:tcW w:w="7331" w:type="dxa"/>
            <w:vAlign w:val="center"/>
          </w:tcPr>
          <w:p>
            <w:pPr>
              <w:spacing w:line="400" w:lineRule="exact"/>
              <w:jc w:val="center"/>
              <w:rPr>
                <w:rFonts w:ascii="仿宋" w:hAnsi="仿宋" w:eastAsia="仿宋"/>
                <w:sz w:val="24"/>
              </w:rPr>
            </w:pPr>
            <w:r>
              <w:rPr>
                <w:rFonts w:hint="eastAsia" w:ascii="仿宋" w:hAnsi="仿宋" w:eastAsia="仿宋"/>
                <w:sz w:val="24"/>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1209" w:type="dxa"/>
            <w:vMerge w:val="restart"/>
            <w:vAlign w:val="center"/>
          </w:tcPr>
          <w:p>
            <w:pPr>
              <w:spacing w:line="400" w:lineRule="exact"/>
              <w:jc w:val="center"/>
              <w:rPr>
                <w:rFonts w:ascii="仿宋" w:hAnsi="仿宋" w:eastAsia="仿宋"/>
                <w:sz w:val="24"/>
              </w:rPr>
            </w:pPr>
            <w:r>
              <w:rPr>
                <w:rFonts w:hint="eastAsia" w:ascii="仿宋" w:hAnsi="仿宋" w:eastAsia="仿宋"/>
                <w:sz w:val="24"/>
              </w:rPr>
              <w:t>理解</w:t>
            </w:r>
          </w:p>
          <w:p>
            <w:pPr>
              <w:spacing w:line="400" w:lineRule="exact"/>
              <w:jc w:val="center"/>
              <w:rPr>
                <w:rFonts w:ascii="仿宋" w:hAnsi="仿宋" w:eastAsia="仿宋"/>
                <w:sz w:val="24"/>
              </w:rPr>
            </w:pPr>
            <w:r>
              <w:rPr>
                <w:rFonts w:hint="eastAsia" w:ascii="仿宋" w:hAnsi="仿宋" w:eastAsia="仿宋"/>
                <w:sz w:val="24"/>
              </w:rPr>
              <w:t>教材</w:t>
            </w:r>
          </w:p>
        </w:tc>
        <w:tc>
          <w:tcPr>
            <w:tcW w:w="7331" w:type="dxa"/>
            <w:vAlign w:val="center"/>
          </w:tcPr>
          <w:p>
            <w:pPr>
              <w:spacing w:line="400" w:lineRule="exact"/>
              <w:rPr>
                <w:rFonts w:ascii="仿宋" w:hAnsi="仿宋" w:eastAsia="仿宋"/>
                <w:sz w:val="24"/>
              </w:rPr>
            </w:pPr>
            <w:r>
              <w:rPr>
                <w:rFonts w:hint="eastAsia" w:ascii="仿宋" w:hAnsi="仿宋" w:eastAsia="仿宋"/>
                <w:sz w:val="24"/>
              </w:rPr>
              <w:t>1．正确理解教材，分析课程的教学理念；阐述一节课的教学内容，把握教材重点、难点。可创造性的使用教材。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209" w:type="dxa"/>
            <w:vMerge w:val="continue"/>
            <w:vAlign w:val="center"/>
          </w:tcPr>
          <w:p>
            <w:pPr>
              <w:spacing w:line="400" w:lineRule="exact"/>
              <w:jc w:val="center"/>
              <w:rPr>
                <w:rFonts w:ascii="仿宋" w:hAnsi="仿宋" w:eastAsia="仿宋"/>
                <w:sz w:val="24"/>
              </w:rPr>
            </w:pPr>
          </w:p>
        </w:tc>
        <w:tc>
          <w:tcPr>
            <w:tcW w:w="7331" w:type="dxa"/>
            <w:vAlign w:val="center"/>
          </w:tcPr>
          <w:p>
            <w:pPr>
              <w:spacing w:line="400" w:lineRule="exact"/>
              <w:rPr>
                <w:rFonts w:ascii="仿宋" w:hAnsi="仿宋" w:eastAsia="仿宋"/>
                <w:sz w:val="24"/>
              </w:rPr>
            </w:pPr>
            <w:r>
              <w:rPr>
                <w:rFonts w:hint="eastAsia" w:ascii="仿宋" w:hAnsi="仿宋" w:eastAsia="仿宋"/>
                <w:sz w:val="24"/>
              </w:rPr>
              <w:t>2．教学目标准确合理，可操作性强。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jc w:val="center"/>
        </w:trPr>
        <w:tc>
          <w:tcPr>
            <w:tcW w:w="1209" w:type="dxa"/>
            <w:vMerge w:val="restart"/>
            <w:vAlign w:val="center"/>
          </w:tcPr>
          <w:p>
            <w:pPr>
              <w:spacing w:line="400" w:lineRule="exact"/>
              <w:jc w:val="center"/>
              <w:rPr>
                <w:rFonts w:ascii="仿宋" w:hAnsi="仿宋" w:eastAsia="仿宋"/>
                <w:sz w:val="24"/>
              </w:rPr>
            </w:pPr>
            <w:r>
              <w:rPr>
                <w:rFonts w:hint="eastAsia" w:ascii="仿宋" w:hAnsi="仿宋" w:eastAsia="仿宋"/>
                <w:sz w:val="24"/>
              </w:rPr>
              <w:t>学情</w:t>
            </w:r>
          </w:p>
          <w:p>
            <w:pPr>
              <w:spacing w:line="400" w:lineRule="exact"/>
              <w:jc w:val="center"/>
              <w:rPr>
                <w:rFonts w:ascii="仿宋" w:hAnsi="仿宋" w:eastAsia="仿宋"/>
                <w:sz w:val="24"/>
              </w:rPr>
            </w:pPr>
            <w:r>
              <w:rPr>
                <w:rFonts w:hint="eastAsia" w:ascii="仿宋" w:hAnsi="仿宋" w:eastAsia="仿宋"/>
                <w:sz w:val="24"/>
              </w:rPr>
              <w:t>分析</w:t>
            </w:r>
          </w:p>
        </w:tc>
        <w:tc>
          <w:tcPr>
            <w:tcW w:w="7331" w:type="dxa"/>
            <w:vAlign w:val="center"/>
          </w:tcPr>
          <w:p>
            <w:pPr>
              <w:spacing w:line="400" w:lineRule="exact"/>
              <w:rPr>
                <w:rFonts w:ascii="仿宋" w:hAnsi="仿宋" w:eastAsia="仿宋"/>
                <w:sz w:val="24"/>
              </w:rPr>
            </w:pPr>
            <w:r>
              <w:rPr>
                <w:rFonts w:hint="eastAsia" w:ascii="仿宋" w:hAnsi="仿宋" w:eastAsia="仿宋"/>
                <w:sz w:val="24"/>
              </w:rPr>
              <w:t>1．对学生学习的起点和现有困难分析准确。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1209" w:type="dxa"/>
            <w:vMerge w:val="continue"/>
            <w:vAlign w:val="center"/>
          </w:tcPr>
          <w:p>
            <w:pPr>
              <w:spacing w:line="400" w:lineRule="exact"/>
              <w:jc w:val="center"/>
              <w:rPr>
                <w:rFonts w:ascii="仿宋" w:hAnsi="仿宋" w:eastAsia="仿宋"/>
                <w:sz w:val="24"/>
              </w:rPr>
            </w:pPr>
          </w:p>
        </w:tc>
        <w:tc>
          <w:tcPr>
            <w:tcW w:w="7331" w:type="dxa"/>
            <w:vAlign w:val="center"/>
          </w:tcPr>
          <w:p>
            <w:pPr>
              <w:spacing w:line="400" w:lineRule="exact"/>
              <w:rPr>
                <w:rFonts w:ascii="仿宋" w:hAnsi="仿宋" w:eastAsia="仿宋"/>
                <w:sz w:val="24"/>
              </w:rPr>
            </w:pPr>
            <w:r>
              <w:rPr>
                <w:rFonts w:hint="eastAsia" w:ascii="仿宋" w:hAnsi="仿宋" w:eastAsia="仿宋"/>
                <w:sz w:val="24"/>
              </w:rPr>
              <w:t>2．注重培养学生自主学习能力。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jc w:val="center"/>
        </w:trPr>
        <w:tc>
          <w:tcPr>
            <w:tcW w:w="1209" w:type="dxa"/>
            <w:vMerge w:val="restart"/>
            <w:vAlign w:val="center"/>
          </w:tcPr>
          <w:p>
            <w:pPr>
              <w:spacing w:line="400" w:lineRule="exact"/>
              <w:jc w:val="center"/>
              <w:rPr>
                <w:rFonts w:ascii="仿宋" w:hAnsi="仿宋" w:eastAsia="仿宋"/>
                <w:sz w:val="24"/>
              </w:rPr>
            </w:pPr>
            <w:r>
              <w:rPr>
                <w:rFonts w:hint="eastAsia" w:ascii="仿宋" w:hAnsi="仿宋" w:eastAsia="仿宋"/>
                <w:sz w:val="24"/>
              </w:rPr>
              <w:t>教法</w:t>
            </w:r>
          </w:p>
          <w:p>
            <w:pPr>
              <w:spacing w:line="400" w:lineRule="exact"/>
              <w:jc w:val="center"/>
              <w:rPr>
                <w:rFonts w:ascii="仿宋" w:hAnsi="仿宋" w:eastAsia="仿宋"/>
                <w:sz w:val="24"/>
              </w:rPr>
            </w:pPr>
            <w:r>
              <w:rPr>
                <w:rFonts w:hint="eastAsia" w:ascii="仿宋" w:hAnsi="仿宋" w:eastAsia="仿宋"/>
                <w:sz w:val="24"/>
              </w:rPr>
              <w:t>学法</w:t>
            </w:r>
          </w:p>
        </w:tc>
        <w:tc>
          <w:tcPr>
            <w:tcW w:w="7331" w:type="dxa"/>
            <w:vAlign w:val="center"/>
          </w:tcPr>
          <w:p>
            <w:pPr>
              <w:spacing w:line="400" w:lineRule="exact"/>
              <w:rPr>
                <w:rFonts w:ascii="仿宋" w:hAnsi="仿宋" w:eastAsia="仿宋"/>
                <w:sz w:val="24"/>
              </w:rPr>
            </w:pPr>
            <w:r>
              <w:rPr>
                <w:rFonts w:hint="eastAsia" w:ascii="仿宋" w:hAnsi="仿宋" w:eastAsia="仿宋"/>
                <w:sz w:val="24"/>
              </w:rPr>
              <w:t>1．教学方法设计紧扣教学内容，符合学科特点。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1209" w:type="dxa"/>
            <w:vMerge w:val="continue"/>
            <w:vAlign w:val="center"/>
          </w:tcPr>
          <w:p>
            <w:pPr>
              <w:spacing w:line="400" w:lineRule="exact"/>
              <w:jc w:val="center"/>
              <w:rPr>
                <w:rFonts w:ascii="仿宋" w:hAnsi="仿宋" w:eastAsia="仿宋"/>
                <w:sz w:val="24"/>
              </w:rPr>
            </w:pPr>
          </w:p>
        </w:tc>
        <w:tc>
          <w:tcPr>
            <w:tcW w:w="7331" w:type="dxa"/>
            <w:vAlign w:val="center"/>
          </w:tcPr>
          <w:p>
            <w:pPr>
              <w:spacing w:line="400" w:lineRule="exact"/>
              <w:rPr>
                <w:rFonts w:ascii="仿宋" w:hAnsi="仿宋" w:eastAsia="仿宋"/>
                <w:sz w:val="24"/>
              </w:rPr>
            </w:pPr>
            <w:r>
              <w:rPr>
                <w:rFonts w:hint="eastAsia" w:ascii="仿宋" w:hAnsi="仿宋" w:eastAsia="仿宋"/>
                <w:sz w:val="24"/>
              </w:rPr>
              <w:t>2．教学策略合理，有新意，有自己的见解。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1209" w:type="dxa"/>
            <w:vMerge w:val="continue"/>
            <w:vAlign w:val="center"/>
          </w:tcPr>
          <w:p>
            <w:pPr>
              <w:spacing w:line="400" w:lineRule="exact"/>
              <w:jc w:val="center"/>
              <w:rPr>
                <w:rFonts w:ascii="仿宋" w:hAnsi="仿宋" w:eastAsia="仿宋"/>
                <w:sz w:val="24"/>
              </w:rPr>
            </w:pPr>
          </w:p>
        </w:tc>
        <w:tc>
          <w:tcPr>
            <w:tcW w:w="7331" w:type="dxa"/>
            <w:vAlign w:val="center"/>
          </w:tcPr>
          <w:p>
            <w:pPr>
              <w:spacing w:line="400" w:lineRule="exact"/>
              <w:rPr>
                <w:rFonts w:ascii="仿宋" w:hAnsi="仿宋" w:eastAsia="仿宋"/>
                <w:sz w:val="24"/>
              </w:rPr>
            </w:pPr>
            <w:r>
              <w:rPr>
                <w:rFonts w:hint="eastAsia" w:ascii="仿宋" w:hAnsi="仿宋" w:eastAsia="仿宋"/>
                <w:sz w:val="24"/>
              </w:rPr>
              <w:t>3. 学生充分动体动脑，学会学习。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jc w:val="center"/>
        </w:trPr>
        <w:tc>
          <w:tcPr>
            <w:tcW w:w="1209" w:type="dxa"/>
            <w:vMerge w:val="restart"/>
            <w:vAlign w:val="center"/>
          </w:tcPr>
          <w:p>
            <w:pPr>
              <w:spacing w:line="400" w:lineRule="exact"/>
              <w:jc w:val="center"/>
              <w:rPr>
                <w:rFonts w:ascii="仿宋" w:hAnsi="仿宋" w:eastAsia="仿宋"/>
                <w:sz w:val="24"/>
              </w:rPr>
            </w:pPr>
            <w:r>
              <w:rPr>
                <w:rFonts w:hint="eastAsia" w:ascii="仿宋" w:hAnsi="仿宋" w:eastAsia="仿宋"/>
                <w:sz w:val="24"/>
              </w:rPr>
              <w:t>教学</w:t>
            </w:r>
          </w:p>
          <w:p>
            <w:pPr>
              <w:spacing w:line="400" w:lineRule="exact"/>
              <w:jc w:val="center"/>
              <w:rPr>
                <w:rFonts w:ascii="仿宋" w:hAnsi="仿宋" w:eastAsia="仿宋"/>
                <w:sz w:val="24"/>
              </w:rPr>
            </w:pPr>
            <w:r>
              <w:rPr>
                <w:rFonts w:hint="eastAsia" w:ascii="仿宋" w:hAnsi="仿宋" w:eastAsia="仿宋"/>
                <w:sz w:val="24"/>
              </w:rPr>
              <w:t>过程</w:t>
            </w:r>
          </w:p>
        </w:tc>
        <w:tc>
          <w:tcPr>
            <w:tcW w:w="7331" w:type="dxa"/>
            <w:vAlign w:val="center"/>
          </w:tcPr>
          <w:p>
            <w:pPr>
              <w:spacing w:line="400" w:lineRule="exact"/>
              <w:rPr>
                <w:rFonts w:ascii="仿宋" w:hAnsi="仿宋" w:eastAsia="仿宋"/>
                <w:sz w:val="24"/>
              </w:rPr>
            </w:pPr>
            <w:r>
              <w:rPr>
                <w:rFonts w:hint="eastAsia" w:ascii="仿宋" w:hAnsi="仿宋" w:eastAsia="仿宋"/>
                <w:sz w:val="24"/>
              </w:rPr>
              <w:t>1．教学过程设计严谨、思路清晰、重点突出。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209" w:type="dxa"/>
            <w:vMerge w:val="continue"/>
            <w:vAlign w:val="center"/>
          </w:tcPr>
          <w:p>
            <w:pPr>
              <w:spacing w:line="400" w:lineRule="exact"/>
              <w:jc w:val="center"/>
              <w:rPr>
                <w:rFonts w:ascii="仿宋" w:hAnsi="仿宋" w:eastAsia="仿宋"/>
                <w:sz w:val="24"/>
              </w:rPr>
            </w:pPr>
          </w:p>
        </w:tc>
        <w:tc>
          <w:tcPr>
            <w:tcW w:w="7331" w:type="dxa"/>
            <w:vAlign w:val="center"/>
          </w:tcPr>
          <w:p>
            <w:pPr>
              <w:spacing w:line="400" w:lineRule="exact"/>
              <w:rPr>
                <w:rFonts w:ascii="仿宋" w:hAnsi="仿宋" w:eastAsia="仿宋"/>
                <w:sz w:val="24"/>
              </w:rPr>
            </w:pPr>
            <w:r>
              <w:rPr>
                <w:rFonts w:hint="eastAsia" w:ascii="仿宋" w:hAnsi="仿宋" w:eastAsia="仿宋"/>
                <w:sz w:val="24"/>
              </w:rPr>
              <w:t>2．教学过程设计与教学内容、教学方法、学法指导结合紧密。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8" w:hRule="atLeast"/>
          <w:jc w:val="center"/>
        </w:trPr>
        <w:tc>
          <w:tcPr>
            <w:tcW w:w="1209" w:type="dxa"/>
            <w:vMerge w:val="continue"/>
            <w:vAlign w:val="center"/>
          </w:tcPr>
          <w:p>
            <w:pPr>
              <w:spacing w:line="400" w:lineRule="exact"/>
              <w:jc w:val="center"/>
              <w:rPr>
                <w:rFonts w:ascii="仿宋" w:hAnsi="仿宋" w:eastAsia="仿宋"/>
                <w:sz w:val="24"/>
              </w:rPr>
            </w:pPr>
          </w:p>
        </w:tc>
        <w:tc>
          <w:tcPr>
            <w:tcW w:w="7331" w:type="dxa"/>
            <w:vAlign w:val="center"/>
          </w:tcPr>
          <w:p>
            <w:pPr>
              <w:spacing w:line="400" w:lineRule="exact"/>
              <w:rPr>
                <w:rFonts w:ascii="仿宋" w:hAnsi="仿宋" w:eastAsia="仿宋"/>
                <w:sz w:val="24"/>
              </w:rPr>
            </w:pPr>
            <w:r>
              <w:rPr>
                <w:rFonts w:hint="eastAsia" w:ascii="仿宋" w:hAnsi="仿宋" w:eastAsia="仿宋"/>
                <w:sz w:val="24"/>
              </w:rPr>
              <w:t>3．教学中采用的方式、方法、手段有充分的理论依据或成熟个人观点。检测学习目标的手段简便易行。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1209" w:type="dxa"/>
            <w:vMerge w:val="continue"/>
            <w:vAlign w:val="center"/>
          </w:tcPr>
          <w:p>
            <w:pPr>
              <w:spacing w:line="400" w:lineRule="exact"/>
              <w:jc w:val="center"/>
              <w:rPr>
                <w:rFonts w:ascii="仿宋" w:hAnsi="仿宋" w:eastAsia="仿宋"/>
                <w:sz w:val="24"/>
              </w:rPr>
            </w:pPr>
          </w:p>
        </w:tc>
        <w:tc>
          <w:tcPr>
            <w:tcW w:w="7331" w:type="dxa"/>
            <w:vAlign w:val="center"/>
          </w:tcPr>
          <w:p>
            <w:pPr>
              <w:spacing w:line="400" w:lineRule="exact"/>
              <w:rPr>
                <w:rFonts w:ascii="仿宋" w:hAnsi="仿宋" w:eastAsia="仿宋"/>
                <w:sz w:val="24"/>
              </w:rPr>
            </w:pPr>
            <w:r>
              <w:rPr>
                <w:rFonts w:hint="eastAsia" w:ascii="仿宋" w:hAnsi="仿宋" w:eastAsia="仿宋"/>
                <w:sz w:val="24"/>
              </w:rPr>
              <w:t>4．能启发学生理论与实践相结合的能力。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209" w:type="dxa"/>
            <w:vMerge w:val="continue"/>
            <w:vAlign w:val="center"/>
          </w:tcPr>
          <w:p>
            <w:pPr>
              <w:spacing w:line="400" w:lineRule="exact"/>
              <w:jc w:val="center"/>
              <w:rPr>
                <w:rFonts w:ascii="仿宋" w:hAnsi="仿宋" w:eastAsia="仿宋"/>
                <w:sz w:val="24"/>
              </w:rPr>
            </w:pPr>
          </w:p>
        </w:tc>
        <w:tc>
          <w:tcPr>
            <w:tcW w:w="7331" w:type="dxa"/>
            <w:vAlign w:val="center"/>
          </w:tcPr>
          <w:p>
            <w:pPr>
              <w:spacing w:line="400" w:lineRule="exact"/>
              <w:rPr>
                <w:rFonts w:ascii="仿宋" w:hAnsi="仿宋" w:eastAsia="仿宋"/>
                <w:sz w:val="24"/>
              </w:rPr>
            </w:pPr>
            <w:r>
              <w:rPr>
                <w:rFonts w:hint="eastAsia" w:ascii="仿宋" w:hAnsi="仿宋" w:eastAsia="仿宋"/>
                <w:sz w:val="24"/>
              </w:rPr>
              <w:t>*5. 使用多媒体对说课能起到良好的辅助效果。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1209" w:type="dxa"/>
            <w:vMerge w:val="continue"/>
            <w:vAlign w:val="center"/>
          </w:tcPr>
          <w:p>
            <w:pPr>
              <w:spacing w:line="400" w:lineRule="exact"/>
              <w:jc w:val="center"/>
              <w:rPr>
                <w:rFonts w:ascii="仿宋" w:hAnsi="仿宋" w:eastAsia="仿宋"/>
                <w:sz w:val="24"/>
              </w:rPr>
            </w:pPr>
          </w:p>
        </w:tc>
        <w:tc>
          <w:tcPr>
            <w:tcW w:w="7331" w:type="dxa"/>
            <w:vAlign w:val="center"/>
          </w:tcPr>
          <w:p>
            <w:pPr>
              <w:spacing w:line="400" w:lineRule="exact"/>
              <w:rPr>
                <w:rFonts w:ascii="仿宋" w:hAnsi="仿宋" w:eastAsia="仿宋"/>
                <w:sz w:val="24"/>
              </w:rPr>
            </w:pPr>
            <w:r>
              <w:rPr>
                <w:rFonts w:hint="eastAsia" w:ascii="仿宋" w:hAnsi="仿宋" w:eastAsia="仿宋"/>
                <w:sz w:val="24"/>
              </w:rPr>
              <w:t>*6. 能充分利用场地器材，有改革创新点。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jc w:val="center"/>
        </w:trPr>
        <w:tc>
          <w:tcPr>
            <w:tcW w:w="1209" w:type="dxa"/>
            <w:vMerge w:val="restart"/>
            <w:vAlign w:val="center"/>
          </w:tcPr>
          <w:p>
            <w:pPr>
              <w:spacing w:line="400" w:lineRule="exact"/>
              <w:jc w:val="center"/>
              <w:rPr>
                <w:rFonts w:ascii="仿宋" w:hAnsi="仿宋" w:eastAsia="仿宋"/>
                <w:sz w:val="24"/>
              </w:rPr>
            </w:pPr>
            <w:r>
              <w:rPr>
                <w:rFonts w:hint="eastAsia" w:ascii="仿宋" w:hAnsi="仿宋" w:eastAsia="仿宋"/>
                <w:sz w:val="24"/>
              </w:rPr>
              <w:t>教学</w:t>
            </w:r>
          </w:p>
          <w:p>
            <w:pPr>
              <w:spacing w:line="400" w:lineRule="exact"/>
              <w:jc w:val="center"/>
              <w:rPr>
                <w:rFonts w:ascii="仿宋" w:hAnsi="仿宋" w:eastAsia="仿宋"/>
                <w:sz w:val="24"/>
              </w:rPr>
            </w:pPr>
            <w:r>
              <w:rPr>
                <w:rFonts w:hint="eastAsia" w:ascii="仿宋" w:hAnsi="仿宋" w:eastAsia="仿宋"/>
                <w:sz w:val="24"/>
              </w:rPr>
              <w:t>基本功</w:t>
            </w:r>
          </w:p>
        </w:tc>
        <w:tc>
          <w:tcPr>
            <w:tcW w:w="7331" w:type="dxa"/>
            <w:vAlign w:val="center"/>
          </w:tcPr>
          <w:p>
            <w:pPr>
              <w:spacing w:line="400" w:lineRule="exact"/>
              <w:rPr>
                <w:rFonts w:ascii="仿宋" w:hAnsi="仿宋" w:eastAsia="仿宋"/>
                <w:sz w:val="24"/>
              </w:rPr>
            </w:pPr>
            <w:r>
              <w:rPr>
                <w:rFonts w:hint="eastAsia" w:ascii="仿宋" w:hAnsi="仿宋" w:eastAsia="仿宋"/>
                <w:sz w:val="24"/>
              </w:rPr>
              <w:t>1．教师语言清晰、流畅、语调适中，有感染力。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209" w:type="dxa"/>
            <w:vMerge w:val="continue"/>
            <w:vAlign w:val="center"/>
          </w:tcPr>
          <w:p>
            <w:pPr>
              <w:spacing w:line="400" w:lineRule="exact"/>
              <w:jc w:val="center"/>
              <w:rPr>
                <w:rFonts w:ascii="仿宋" w:hAnsi="仿宋" w:eastAsia="仿宋"/>
                <w:sz w:val="24"/>
              </w:rPr>
            </w:pPr>
          </w:p>
        </w:tc>
        <w:tc>
          <w:tcPr>
            <w:tcW w:w="7331" w:type="dxa"/>
            <w:vAlign w:val="center"/>
          </w:tcPr>
          <w:p>
            <w:pPr>
              <w:spacing w:line="400" w:lineRule="exact"/>
              <w:rPr>
                <w:rFonts w:ascii="仿宋" w:hAnsi="仿宋" w:eastAsia="仿宋"/>
                <w:sz w:val="24"/>
              </w:rPr>
            </w:pPr>
            <w:r>
              <w:rPr>
                <w:rFonts w:hint="eastAsia" w:ascii="仿宋" w:hAnsi="仿宋" w:eastAsia="仿宋"/>
                <w:sz w:val="24"/>
              </w:rPr>
              <w:t>2．教师教态自然、仪表端庄大方。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jc w:val="center"/>
        </w:trPr>
        <w:tc>
          <w:tcPr>
            <w:tcW w:w="1209" w:type="dxa"/>
            <w:vMerge w:val="continue"/>
            <w:vAlign w:val="center"/>
          </w:tcPr>
          <w:p>
            <w:pPr>
              <w:spacing w:line="400" w:lineRule="exact"/>
              <w:jc w:val="center"/>
              <w:rPr>
                <w:rFonts w:ascii="仿宋" w:hAnsi="仿宋" w:eastAsia="仿宋"/>
                <w:sz w:val="24"/>
              </w:rPr>
            </w:pPr>
          </w:p>
        </w:tc>
        <w:tc>
          <w:tcPr>
            <w:tcW w:w="7331" w:type="dxa"/>
            <w:vAlign w:val="center"/>
          </w:tcPr>
          <w:p>
            <w:pPr>
              <w:spacing w:line="400" w:lineRule="exact"/>
              <w:rPr>
                <w:rFonts w:ascii="仿宋" w:hAnsi="仿宋" w:eastAsia="仿宋"/>
                <w:sz w:val="24"/>
              </w:rPr>
            </w:pPr>
            <w:r>
              <w:rPr>
                <w:rFonts w:hint="eastAsia" w:ascii="仿宋" w:hAnsi="仿宋" w:eastAsia="仿宋"/>
                <w:sz w:val="24"/>
              </w:rPr>
              <w:t>3．时间掌握准确，说课在1</w:t>
            </w:r>
            <w:r>
              <w:rPr>
                <w:rFonts w:ascii="仿宋" w:hAnsi="仿宋" w:eastAsia="仿宋"/>
                <w:sz w:val="24"/>
              </w:rPr>
              <w:t>5</w:t>
            </w:r>
            <w:r>
              <w:rPr>
                <w:rFonts w:hint="eastAsia" w:ascii="仿宋" w:hAnsi="仿宋" w:eastAsia="仿宋"/>
                <w:sz w:val="24"/>
              </w:rPr>
              <w:t>分钟内完成。</w:t>
            </w:r>
          </w:p>
        </w:tc>
      </w:tr>
    </w:tbl>
    <w:p>
      <w:pPr>
        <w:ind w:firstLine="480" w:firstLineChars="200"/>
        <w:rPr>
          <w:rFonts w:ascii="仿宋" w:hAnsi="仿宋" w:eastAsia="仿宋"/>
          <w:sz w:val="32"/>
          <w:szCs w:val="32"/>
        </w:rPr>
      </w:pPr>
      <w:r>
        <w:rPr>
          <w:rFonts w:hint="eastAsia" w:ascii="仿宋" w:hAnsi="仿宋" w:eastAsia="仿宋"/>
          <w:sz w:val="24"/>
        </w:rPr>
        <w:t>注：加“*”项目可根据学科性质不同，选取其中一项进行评价。</w:t>
      </w:r>
    </w:p>
    <w:sectPr>
      <w:footerReference r:id="rId3" w:type="default"/>
      <w:footerReference r:id="rId4" w:type="even"/>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华文新魏">
    <w:panose1 w:val="02010800040101010101"/>
    <w:charset w:val="86"/>
    <w:family w:val="auto"/>
    <w:pitch w:val="default"/>
    <w:sig w:usb0="00000001" w:usb1="080F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仿宋_GB2312" w:eastAsia="仿宋_GB2312"/>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63078382"/>
                          </w:sdtPr>
                          <w:sdtEndPr>
                            <w:rPr>
                              <w:rFonts w:hint="eastAsia" w:ascii="仿宋_GB2312" w:eastAsia="仿宋_GB2312"/>
                            </w:rPr>
                          </w:sdtEndPr>
                          <w:sdtContent>
                            <w:p>
                              <w:pPr>
                                <w:pStyle w:val="3"/>
                                <w:jc w:val="right"/>
                                <w:rPr>
                                  <w:rFonts w:ascii="仿宋_GB2312" w:eastAsia="仿宋_GB2312"/>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PAGE   \* MERGEFORMAT</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lang w:val="zh-CN"/>
                                </w:rPr>
                                <w:t>-</w:t>
                              </w:r>
                              <w:r>
                                <w:rPr>
                                  <w:rFonts w:asciiTheme="minorEastAsia" w:hAnsiTheme="minorEastAsia" w:cstheme="minorEastAsia"/>
                                  <w:sz w:val="28"/>
                                  <w:szCs w:val="28"/>
                                </w:rPr>
                                <w:t xml:space="preserve"> 11 -</w:t>
                              </w:r>
                              <w:r>
                                <w:rPr>
                                  <w:rFonts w:hint="eastAsia" w:asciiTheme="minorEastAsia" w:hAnsiTheme="minorEastAsia" w:cstheme="minorEastAsia"/>
                                  <w:sz w:val="28"/>
                                  <w:szCs w:val="28"/>
                                </w:rPr>
                                <w:fldChar w:fldCharType="end"/>
                              </w:r>
                            </w:p>
                          </w:sdtContent>
                        </w:sdt>
                        <w:p>
                          <w:pPr>
                            <w:rPr>
                              <w:rFonts w:ascii="仿宋_GB2312" w:eastAsia="仿宋_GB2312"/>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263078382"/>
                    </w:sdtPr>
                    <w:sdtEndPr>
                      <w:rPr>
                        <w:rFonts w:hint="eastAsia" w:ascii="仿宋_GB2312" w:eastAsia="仿宋_GB2312"/>
                      </w:rPr>
                    </w:sdtEndPr>
                    <w:sdtContent>
                      <w:p>
                        <w:pPr>
                          <w:pStyle w:val="3"/>
                          <w:jc w:val="right"/>
                          <w:rPr>
                            <w:rFonts w:ascii="仿宋_GB2312" w:eastAsia="仿宋_GB2312"/>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PAGE   \* MERGEFORMAT</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lang w:val="zh-CN"/>
                          </w:rPr>
                          <w:t>-</w:t>
                        </w:r>
                        <w:r>
                          <w:rPr>
                            <w:rFonts w:asciiTheme="minorEastAsia" w:hAnsiTheme="minorEastAsia" w:cstheme="minorEastAsia"/>
                            <w:sz w:val="28"/>
                            <w:szCs w:val="28"/>
                          </w:rPr>
                          <w:t xml:space="preserve"> 11 -</w:t>
                        </w:r>
                        <w:r>
                          <w:rPr>
                            <w:rFonts w:hint="eastAsia" w:asciiTheme="minorEastAsia" w:hAnsiTheme="minorEastAsia" w:cstheme="minorEastAsia"/>
                            <w:sz w:val="28"/>
                            <w:szCs w:val="28"/>
                          </w:rPr>
                          <w:fldChar w:fldCharType="end"/>
                        </w:r>
                      </w:p>
                    </w:sdtContent>
                  </w:sdt>
                  <w:p>
                    <w:pPr>
                      <w:rPr>
                        <w:rFonts w:ascii="仿宋_GB2312" w:eastAsia="仿宋_GB2312"/>
                      </w:rPr>
                    </w:pPr>
                  </w:p>
                </w:txbxContent>
              </v:textbox>
            </v:shape>
          </w:pict>
        </mc:Fallback>
      </mc:AlternateContent>
    </w:r>
  </w:p>
  <w:p>
    <w:pPr>
      <w:pStyle w:val="3"/>
      <w:tabs>
        <w:tab w:val="left" w:pos="4813"/>
        <w:tab w:val="clear" w:pos="4153"/>
      </w:tabs>
      <w:rPr>
        <w:rFonts w:ascii="仿宋_GB2312" w:eastAsia="仿宋_GB2312"/>
      </w:rPr>
    </w:pPr>
    <w:r>
      <w:rPr>
        <w:rFonts w:hint="eastAsia" w:ascii="仿宋_GB2312" w:eastAsia="仿宋_GB231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仿宋_GB2312" w:eastAsia="仿宋_GB2312"/>
      </w:rPr>
    </w:pPr>
    <w: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-123825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45826732"/>
                          </w:sdtPr>
                          <w:sdtEndPr>
                            <w:rPr>
                              <w:rFonts w:hint="eastAsia" w:ascii="仿宋_GB2312" w:eastAsia="仿宋_GB2312"/>
                            </w:rPr>
                          </w:sdtEndPr>
                          <w:sdtContent>
                            <w:p>
                              <w:pPr>
                                <w:pStyle w:val="3"/>
                                <w:rPr>
                                  <w:rFonts w:ascii="仿宋_GB2312" w:eastAsia="仿宋_GB2312"/>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PAGE   \* MERGEFORMAT</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lang w:val="zh-CN"/>
                                </w:rPr>
                                <w:t>-</w:t>
                              </w:r>
                              <w:r>
                                <w:rPr>
                                  <w:rFonts w:hint="eastAsia" w:ascii="楷体_GB2312" w:hAnsi="楷体_GB2312" w:eastAsia="楷体_GB2312" w:cs="楷体_GB2312"/>
                                  <w:sz w:val="28"/>
                                  <w:szCs w:val="28"/>
                                </w:rPr>
                                <w:t xml:space="preserve"> 10 -</w:t>
                              </w:r>
                              <w:r>
                                <w:rPr>
                                  <w:rFonts w:hint="eastAsia" w:ascii="楷体_GB2312" w:hAnsi="楷体_GB2312" w:eastAsia="楷体_GB2312" w:cs="楷体_GB2312"/>
                                  <w:sz w:val="28"/>
                                  <w:szCs w:val="28"/>
                                </w:rPr>
                                <w:fldChar w:fldCharType="end"/>
                              </w:r>
                            </w:p>
                          </w:sdtContent>
                        </w:sdt>
                        <w:p>
                          <w:pPr>
                            <w:rPr>
                              <w:rFonts w:ascii="仿宋_GB2312" w:eastAsia="仿宋_GB2312"/>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0pt;margin-top:-9.75pt;height:144pt;width:144pt;mso-position-horizontal-relative:margin;mso-wrap-style:none;z-index:251659264;mso-width-relative:page;mso-height-relative:page;" filled="f" stroked="f" coordsize="21600,21600" o:gfxdata="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cbfuNYAAAAIAQAADwAAAAAAAAABACAA&#10;AAAiAAAAZHJzL2Rvd25yZXYueG1sUEsBAhQAFAAAAAgAh07iQHP4ZNkPAgAABwQAAA4AAAAAAAAA&#10;AQAgAAAAJQEAAGRycy9lMm9Eb2MueG1sUEsFBgAAAAAGAAYAWQEAAKYFAAAAAA==&#10;">
              <v:fill on="f" focussize="0,0"/>
              <v:stroke on="f" weight="0.5pt"/>
              <v:imagedata o:title=""/>
              <o:lock v:ext="edit" aspectratio="f"/>
              <v:textbox inset="0mm,0mm,0mm,0mm" style="mso-fit-shape-to-text:t;">
                <w:txbxContent>
                  <w:sdt>
                    <w:sdtPr>
                      <w:id w:val="1345826732"/>
                    </w:sdtPr>
                    <w:sdtEndPr>
                      <w:rPr>
                        <w:rFonts w:hint="eastAsia" w:ascii="仿宋_GB2312" w:eastAsia="仿宋_GB2312"/>
                      </w:rPr>
                    </w:sdtEndPr>
                    <w:sdtContent>
                      <w:p>
                        <w:pPr>
                          <w:pStyle w:val="3"/>
                          <w:rPr>
                            <w:rFonts w:ascii="仿宋_GB2312" w:eastAsia="仿宋_GB2312"/>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PAGE   \* MERGEFORMAT</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lang w:val="zh-CN"/>
                          </w:rPr>
                          <w:t>-</w:t>
                        </w:r>
                        <w:r>
                          <w:rPr>
                            <w:rFonts w:hint="eastAsia" w:ascii="楷体_GB2312" w:hAnsi="楷体_GB2312" w:eastAsia="楷体_GB2312" w:cs="楷体_GB2312"/>
                            <w:sz w:val="28"/>
                            <w:szCs w:val="28"/>
                          </w:rPr>
                          <w:t xml:space="preserve"> 10 -</w:t>
                        </w:r>
                        <w:r>
                          <w:rPr>
                            <w:rFonts w:hint="eastAsia" w:ascii="楷体_GB2312" w:hAnsi="楷体_GB2312" w:eastAsia="楷体_GB2312" w:cs="楷体_GB2312"/>
                            <w:sz w:val="28"/>
                            <w:szCs w:val="28"/>
                          </w:rPr>
                          <w:fldChar w:fldCharType="end"/>
                        </w:r>
                      </w:p>
                    </w:sdtContent>
                  </w:sdt>
                  <w:p>
                    <w:pPr>
                      <w:rPr>
                        <w:rFonts w:ascii="仿宋_GB2312" w:eastAsia="仿宋_GB2312"/>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42"/>
    <w:rsid w:val="000021E3"/>
    <w:rsid w:val="00005A9E"/>
    <w:rsid w:val="00007BC1"/>
    <w:rsid w:val="0001199D"/>
    <w:rsid w:val="0001200A"/>
    <w:rsid w:val="000149F9"/>
    <w:rsid w:val="00020843"/>
    <w:rsid w:val="0002221C"/>
    <w:rsid w:val="0003095D"/>
    <w:rsid w:val="00034103"/>
    <w:rsid w:val="000364B4"/>
    <w:rsid w:val="00040A2F"/>
    <w:rsid w:val="0004358E"/>
    <w:rsid w:val="000448EC"/>
    <w:rsid w:val="0004551F"/>
    <w:rsid w:val="000474D2"/>
    <w:rsid w:val="00061E72"/>
    <w:rsid w:val="000630FF"/>
    <w:rsid w:val="000674E5"/>
    <w:rsid w:val="00070B70"/>
    <w:rsid w:val="00072DFE"/>
    <w:rsid w:val="00082BBF"/>
    <w:rsid w:val="000878B1"/>
    <w:rsid w:val="00087F88"/>
    <w:rsid w:val="00090C96"/>
    <w:rsid w:val="00091952"/>
    <w:rsid w:val="00092C7B"/>
    <w:rsid w:val="000A222F"/>
    <w:rsid w:val="000A5CBB"/>
    <w:rsid w:val="000B0B87"/>
    <w:rsid w:val="000B3AF2"/>
    <w:rsid w:val="000B694B"/>
    <w:rsid w:val="000D3627"/>
    <w:rsid w:val="000D488F"/>
    <w:rsid w:val="000E19A4"/>
    <w:rsid w:val="000E1B28"/>
    <w:rsid w:val="000E1F00"/>
    <w:rsid w:val="000E2919"/>
    <w:rsid w:val="000E3337"/>
    <w:rsid w:val="000F318A"/>
    <w:rsid w:val="000F4E1C"/>
    <w:rsid w:val="00100A54"/>
    <w:rsid w:val="00103084"/>
    <w:rsid w:val="001061E5"/>
    <w:rsid w:val="001063B6"/>
    <w:rsid w:val="001100EF"/>
    <w:rsid w:val="00111DF1"/>
    <w:rsid w:val="00116EF3"/>
    <w:rsid w:val="00117219"/>
    <w:rsid w:val="00121114"/>
    <w:rsid w:val="00121444"/>
    <w:rsid w:val="0012412E"/>
    <w:rsid w:val="00127A94"/>
    <w:rsid w:val="00130F97"/>
    <w:rsid w:val="00133220"/>
    <w:rsid w:val="00133E46"/>
    <w:rsid w:val="00134A94"/>
    <w:rsid w:val="00135270"/>
    <w:rsid w:val="00137A87"/>
    <w:rsid w:val="0014019B"/>
    <w:rsid w:val="00146C83"/>
    <w:rsid w:val="00153FCB"/>
    <w:rsid w:val="00156657"/>
    <w:rsid w:val="001605EF"/>
    <w:rsid w:val="0016270E"/>
    <w:rsid w:val="00170F20"/>
    <w:rsid w:val="0017175C"/>
    <w:rsid w:val="0018655F"/>
    <w:rsid w:val="00187D47"/>
    <w:rsid w:val="001940D1"/>
    <w:rsid w:val="0019606E"/>
    <w:rsid w:val="00197553"/>
    <w:rsid w:val="001A06A5"/>
    <w:rsid w:val="001A1F81"/>
    <w:rsid w:val="001A29C1"/>
    <w:rsid w:val="001A6FCF"/>
    <w:rsid w:val="001A72FD"/>
    <w:rsid w:val="001C0463"/>
    <w:rsid w:val="001D2EA6"/>
    <w:rsid w:val="001D3CA0"/>
    <w:rsid w:val="001E0345"/>
    <w:rsid w:val="001E3ADD"/>
    <w:rsid w:val="001E5863"/>
    <w:rsid w:val="001E60C1"/>
    <w:rsid w:val="001F05AF"/>
    <w:rsid w:val="001F4A75"/>
    <w:rsid w:val="001F548F"/>
    <w:rsid w:val="001F70F7"/>
    <w:rsid w:val="0020262A"/>
    <w:rsid w:val="0020601A"/>
    <w:rsid w:val="00206A9A"/>
    <w:rsid w:val="002070DE"/>
    <w:rsid w:val="00212DFC"/>
    <w:rsid w:val="00215EBA"/>
    <w:rsid w:val="00221A0B"/>
    <w:rsid w:val="00222D1A"/>
    <w:rsid w:val="002238C3"/>
    <w:rsid w:val="00227E54"/>
    <w:rsid w:val="00237051"/>
    <w:rsid w:val="002411EC"/>
    <w:rsid w:val="00243991"/>
    <w:rsid w:val="0024459F"/>
    <w:rsid w:val="00246AC2"/>
    <w:rsid w:val="00247719"/>
    <w:rsid w:val="0025575F"/>
    <w:rsid w:val="00256915"/>
    <w:rsid w:val="00257E36"/>
    <w:rsid w:val="00257FBD"/>
    <w:rsid w:val="002635EA"/>
    <w:rsid w:val="00264AC8"/>
    <w:rsid w:val="00271AC9"/>
    <w:rsid w:val="00272069"/>
    <w:rsid w:val="002817C2"/>
    <w:rsid w:val="00281D60"/>
    <w:rsid w:val="00282A32"/>
    <w:rsid w:val="00282CAF"/>
    <w:rsid w:val="002865A5"/>
    <w:rsid w:val="00291286"/>
    <w:rsid w:val="00296E18"/>
    <w:rsid w:val="002A304A"/>
    <w:rsid w:val="002A64A9"/>
    <w:rsid w:val="002B4930"/>
    <w:rsid w:val="002C0DE9"/>
    <w:rsid w:val="002C417E"/>
    <w:rsid w:val="002C57A9"/>
    <w:rsid w:val="002C7B01"/>
    <w:rsid w:val="002D17D6"/>
    <w:rsid w:val="002D55E4"/>
    <w:rsid w:val="002D734B"/>
    <w:rsid w:val="002E1376"/>
    <w:rsid w:val="002E2360"/>
    <w:rsid w:val="002F4147"/>
    <w:rsid w:val="002F47F2"/>
    <w:rsid w:val="002F4A2B"/>
    <w:rsid w:val="00301883"/>
    <w:rsid w:val="00304499"/>
    <w:rsid w:val="003070D0"/>
    <w:rsid w:val="00313F22"/>
    <w:rsid w:val="00315229"/>
    <w:rsid w:val="0032020F"/>
    <w:rsid w:val="00320D7C"/>
    <w:rsid w:val="003222C1"/>
    <w:rsid w:val="00324C9D"/>
    <w:rsid w:val="0032790C"/>
    <w:rsid w:val="003309F4"/>
    <w:rsid w:val="00330C1A"/>
    <w:rsid w:val="00332884"/>
    <w:rsid w:val="003556E8"/>
    <w:rsid w:val="00355A77"/>
    <w:rsid w:val="00360D79"/>
    <w:rsid w:val="00361B85"/>
    <w:rsid w:val="003706E6"/>
    <w:rsid w:val="003715A8"/>
    <w:rsid w:val="00371B0C"/>
    <w:rsid w:val="003738D2"/>
    <w:rsid w:val="003776E5"/>
    <w:rsid w:val="003813C0"/>
    <w:rsid w:val="003852E0"/>
    <w:rsid w:val="00391838"/>
    <w:rsid w:val="0039599D"/>
    <w:rsid w:val="003A3E47"/>
    <w:rsid w:val="003A548C"/>
    <w:rsid w:val="003A6C58"/>
    <w:rsid w:val="003B1697"/>
    <w:rsid w:val="003B4397"/>
    <w:rsid w:val="003C070C"/>
    <w:rsid w:val="003C7BA2"/>
    <w:rsid w:val="003D0B06"/>
    <w:rsid w:val="003D1389"/>
    <w:rsid w:val="003D3052"/>
    <w:rsid w:val="003E24BE"/>
    <w:rsid w:val="003E6DAB"/>
    <w:rsid w:val="003F5C08"/>
    <w:rsid w:val="003F7920"/>
    <w:rsid w:val="00403D20"/>
    <w:rsid w:val="00406330"/>
    <w:rsid w:val="00406944"/>
    <w:rsid w:val="0040770C"/>
    <w:rsid w:val="00411957"/>
    <w:rsid w:val="0041386B"/>
    <w:rsid w:val="0041395F"/>
    <w:rsid w:val="00414751"/>
    <w:rsid w:val="004162F2"/>
    <w:rsid w:val="00421841"/>
    <w:rsid w:val="00425CAF"/>
    <w:rsid w:val="00426C67"/>
    <w:rsid w:val="00426CA2"/>
    <w:rsid w:val="00433EE9"/>
    <w:rsid w:val="00436154"/>
    <w:rsid w:val="00444D3E"/>
    <w:rsid w:val="00460950"/>
    <w:rsid w:val="004609EE"/>
    <w:rsid w:val="00464D0D"/>
    <w:rsid w:val="004650F8"/>
    <w:rsid w:val="00473BBF"/>
    <w:rsid w:val="00480635"/>
    <w:rsid w:val="004833F3"/>
    <w:rsid w:val="00483630"/>
    <w:rsid w:val="004845D0"/>
    <w:rsid w:val="00487A8E"/>
    <w:rsid w:val="00495317"/>
    <w:rsid w:val="0049553A"/>
    <w:rsid w:val="00497BF9"/>
    <w:rsid w:val="004A49EA"/>
    <w:rsid w:val="004B177D"/>
    <w:rsid w:val="004B77B1"/>
    <w:rsid w:val="004C6D7C"/>
    <w:rsid w:val="004D185D"/>
    <w:rsid w:val="004E3C39"/>
    <w:rsid w:val="004E5C28"/>
    <w:rsid w:val="004E5C81"/>
    <w:rsid w:val="004E6BB2"/>
    <w:rsid w:val="004E7510"/>
    <w:rsid w:val="004F0C75"/>
    <w:rsid w:val="004F1744"/>
    <w:rsid w:val="004F520A"/>
    <w:rsid w:val="00500C70"/>
    <w:rsid w:val="00503F10"/>
    <w:rsid w:val="0050481E"/>
    <w:rsid w:val="005061BC"/>
    <w:rsid w:val="0050780D"/>
    <w:rsid w:val="0051272E"/>
    <w:rsid w:val="0052034B"/>
    <w:rsid w:val="00524C06"/>
    <w:rsid w:val="00525915"/>
    <w:rsid w:val="00530770"/>
    <w:rsid w:val="00531B46"/>
    <w:rsid w:val="00532C41"/>
    <w:rsid w:val="005332F1"/>
    <w:rsid w:val="00536097"/>
    <w:rsid w:val="00536C70"/>
    <w:rsid w:val="00544CA0"/>
    <w:rsid w:val="005500DB"/>
    <w:rsid w:val="0055331E"/>
    <w:rsid w:val="00561C74"/>
    <w:rsid w:val="00562924"/>
    <w:rsid w:val="00570FA6"/>
    <w:rsid w:val="0057527E"/>
    <w:rsid w:val="00575835"/>
    <w:rsid w:val="00577DF0"/>
    <w:rsid w:val="00581A6B"/>
    <w:rsid w:val="00584E31"/>
    <w:rsid w:val="00590AF0"/>
    <w:rsid w:val="005952B2"/>
    <w:rsid w:val="005975E8"/>
    <w:rsid w:val="005A5203"/>
    <w:rsid w:val="005A6568"/>
    <w:rsid w:val="005A660B"/>
    <w:rsid w:val="005B0F90"/>
    <w:rsid w:val="005B11D4"/>
    <w:rsid w:val="005B1691"/>
    <w:rsid w:val="005B28BB"/>
    <w:rsid w:val="005B2A81"/>
    <w:rsid w:val="005B47B8"/>
    <w:rsid w:val="005C22B8"/>
    <w:rsid w:val="005C39C2"/>
    <w:rsid w:val="005C438C"/>
    <w:rsid w:val="005C525B"/>
    <w:rsid w:val="005D4C3C"/>
    <w:rsid w:val="005E5D96"/>
    <w:rsid w:val="005E749B"/>
    <w:rsid w:val="005F0244"/>
    <w:rsid w:val="005F39B8"/>
    <w:rsid w:val="005F51F1"/>
    <w:rsid w:val="00601B71"/>
    <w:rsid w:val="00603201"/>
    <w:rsid w:val="006061CD"/>
    <w:rsid w:val="00610565"/>
    <w:rsid w:val="00612B9C"/>
    <w:rsid w:val="0062227E"/>
    <w:rsid w:val="00637233"/>
    <w:rsid w:val="00642074"/>
    <w:rsid w:val="006432A6"/>
    <w:rsid w:val="00644734"/>
    <w:rsid w:val="00645FE6"/>
    <w:rsid w:val="00647867"/>
    <w:rsid w:val="00647DA6"/>
    <w:rsid w:val="0065329A"/>
    <w:rsid w:val="006739EE"/>
    <w:rsid w:val="00680CDE"/>
    <w:rsid w:val="00683A14"/>
    <w:rsid w:val="0069108F"/>
    <w:rsid w:val="006A0B88"/>
    <w:rsid w:val="006A220F"/>
    <w:rsid w:val="006A7491"/>
    <w:rsid w:val="006B2D92"/>
    <w:rsid w:val="006B33A9"/>
    <w:rsid w:val="006B70F9"/>
    <w:rsid w:val="006D0C92"/>
    <w:rsid w:val="006D2728"/>
    <w:rsid w:val="006D5D12"/>
    <w:rsid w:val="006D6C20"/>
    <w:rsid w:val="006E1361"/>
    <w:rsid w:val="006E2811"/>
    <w:rsid w:val="006F63F0"/>
    <w:rsid w:val="006F6ACB"/>
    <w:rsid w:val="0070022B"/>
    <w:rsid w:val="00702782"/>
    <w:rsid w:val="0070299C"/>
    <w:rsid w:val="00702AED"/>
    <w:rsid w:val="00703163"/>
    <w:rsid w:val="00704F01"/>
    <w:rsid w:val="00712D28"/>
    <w:rsid w:val="0071335C"/>
    <w:rsid w:val="00720882"/>
    <w:rsid w:val="00721802"/>
    <w:rsid w:val="007237C6"/>
    <w:rsid w:val="007257C5"/>
    <w:rsid w:val="00725DD1"/>
    <w:rsid w:val="007373C9"/>
    <w:rsid w:val="00742F7B"/>
    <w:rsid w:val="00744121"/>
    <w:rsid w:val="00745902"/>
    <w:rsid w:val="0075064A"/>
    <w:rsid w:val="00753D7E"/>
    <w:rsid w:val="00756ADF"/>
    <w:rsid w:val="007679BC"/>
    <w:rsid w:val="007712A3"/>
    <w:rsid w:val="0077254B"/>
    <w:rsid w:val="00773386"/>
    <w:rsid w:val="007753B7"/>
    <w:rsid w:val="00775C98"/>
    <w:rsid w:val="00780355"/>
    <w:rsid w:val="0078240E"/>
    <w:rsid w:val="00782F89"/>
    <w:rsid w:val="00783993"/>
    <w:rsid w:val="00783CA3"/>
    <w:rsid w:val="0078467F"/>
    <w:rsid w:val="00785240"/>
    <w:rsid w:val="007931E5"/>
    <w:rsid w:val="00796E4C"/>
    <w:rsid w:val="007A2412"/>
    <w:rsid w:val="007B1E2C"/>
    <w:rsid w:val="007B6063"/>
    <w:rsid w:val="007B77E3"/>
    <w:rsid w:val="007C459F"/>
    <w:rsid w:val="007C72FB"/>
    <w:rsid w:val="007D0BDF"/>
    <w:rsid w:val="007D3A97"/>
    <w:rsid w:val="007E526B"/>
    <w:rsid w:val="007F1EB6"/>
    <w:rsid w:val="007F3F53"/>
    <w:rsid w:val="007F45A2"/>
    <w:rsid w:val="007F7EC7"/>
    <w:rsid w:val="00805D50"/>
    <w:rsid w:val="0081223C"/>
    <w:rsid w:val="00815310"/>
    <w:rsid w:val="0081760F"/>
    <w:rsid w:val="0081790F"/>
    <w:rsid w:val="00817FA8"/>
    <w:rsid w:val="008200CB"/>
    <w:rsid w:val="00831B6A"/>
    <w:rsid w:val="00831FB1"/>
    <w:rsid w:val="008371BE"/>
    <w:rsid w:val="00840110"/>
    <w:rsid w:val="00842D7A"/>
    <w:rsid w:val="0084576F"/>
    <w:rsid w:val="00847AED"/>
    <w:rsid w:val="00856E7F"/>
    <w:rsid w:val="00857B02"/>
    <w:rsid w:val="00861AC7"/>
    <w:rsid w:val="00861BF3"/>
    <w:rsid w:val="008660EA"/>
    <w:rsid w:val="00866D15"/>
    <w:rsid w:val="008708C4"/>
    <w:rsid w:val="00870B8A"/>
    <w:rsid w:val="00870DFA"/>
    <w:rsid w:val="00871AFE"/>
    <w:rsid w:val="00874437"/>
    <w:rsid w:val="00875043"/>
    <w:rsid w:val="00876D90"/>
    <w:rsid w:val="00876DBB"/>
    <w:rsid w:val="008802BE"/>
    <w:rsid w:val="00882BB2"/>
    <w:rsid w:val="008923DB"/>
    <w:rsid w:val="008A3147"/>
    <w:rsid w:val="008A5E93"/>
    <w:rsid w:val="008B72BE"/>
    <w:rsid w:val="008B7B22"/>
    <w:rsid w:val="008C0A94"/>
    <w:rsid w:val="008C432E"/>
    <w:rsid w:val="008D2C01"/>
    <w:rsid w:val="008D3DA8"/>
    <w:rsid w:val="008D4AEB"/>
    <w:rsid w:val="008D511D"/>
    <w:rsid w:val="008D7431"/>
    <w:rsid w:val="008E3547"/>
    <w:rsid w:val="008E7BCB"/>
    <w:rsid w:val="008F1833"/>
    <w:rsid w:val="008F48E2"/>
    <w:rsid w:val="008F6879"/>
    <w:rsid w:val="009006A9"/>
    <w:rsid w:val="00901918"/>
    <w:rsid w:val="00913045"/>
    <w:rsid w:val="0091365F"/>
    <w:rsid w:val="0091491F"/>
    <w:rsid w:val="00917E7C"/>
    <w:rsid w:val="00920CFE"/>
    <w:rsid w:val="00923056"/>
    <w:rsid w:val="00924774"/>
    <w:rsid w:val="00932DA0"/>
    <w:rsid w:val="00934910"/>
    <w:rsid w:val="00937186"/>
    <w:rsid w:val="00946916"/>
    <w:rsid w:val="00947713"/>
    <w:rsid w:val="00947BEF"/>
    <w:rsid w:val="00950094"/>
    <w:rsid w:val="00953287"/>
    <w:rsid w:val="00953680"/>
    <w:rsid w:val="00955F4E"/>
    <w:rsid w:val="00957963"/>
    <w:rsid w:val="00960C4A"/>
    <w:rsid w:val="00964BC1"/>
    <w:rsid w:val="00971F6C"/>
    <w:rsid w:val="00973180"/>
    <w:rsid w:val="00975A23"/>
    <w:rsid w:val="00997C7C"/>
    <w:rsid w:val="009A5658"/>
    <w:rsid w:val="009A752A"/>
    <w:rsid w:val="009B15CF"/>
    <w:rsid w:val="009B5365"/>
    <w:rsid w:val="009B77E8"/>
    <w:rsid w:val="009B7B9B"/>
    <w:rsid w:val="009C0199"/>
    <w:rsid w:val="009C36C7"/>
    <w:rsid w:val="009C5A40"/>
    <w:rsid w:val="009C611B"/>
    <w:rsid w:val="009D2E11"/>
    <w:rsid w:val="009D3562"/>
    <w:rsid w:val="009D42EA"/>
    <w:rsid w:val="009D4D95"/>
    <w:rsid w:val="009D60F1"/>
    <w:rsid w:val="009D6DF9"/>
    <w:rsid w:val="009E0AE6"/>
    <w:rsid w:val="009E4A34"/>
    <w:rsid w:val="009E6380"/>
    <w:rsid w:val="009F032D"/>
    <w:rsid w:val="009F39A3"/>
    <w:rsid w:val="00A01A5C"/>
    <w:rsid w:val="00A03781"/>
    <w:rsid w:val="00A07046"/>
    <w:rsid w:val="00A07B89"/>
    <w:rsid w:val="00A11B47"/>
    <w:rsid w:val="00A122E0"/>
    <w:rsid w:val="00A216D7"/>
    <w:rsid w:val="00A2261C"/>
    <w:rsid w:val="00A2439A"/>
    <w:rsid w:val="00A273BB"/>
    <w:rsid w:val="00A307CF"/>
    <w:rsid w:val="00A336CD"/>
    <w:rsid w:val="00A36B44"/>
    <w:rsid w:val="00A40324"/>
    <w:rsid w:val="00A46F20"/>
    <w:rsid w:val="00A53F35"/>
    <w:rsid w:val="00A57865"/>
    <w:rsid w:val="00A63CA0"/>
    <w:rsid w:val="00A63E4C"/>
    <w:rsid w:val="00A72ADF"/>
    <w:rsid w:val="00A74368"/>
    <w:rsid w:val="00A74A28"/>
    <w:rsid w:val="00A74CB6"/>
    <w:rsid w:val="00A751F2"/>
    <w:rsid w:val="00A75554"/>
    <w:rsid w:val="00A808BB"/>
    <w:rsid w:val="00A839BE"/>
    <w:rsid w:val="00A93543"/>
    <w:rsid w:val="00A9412D"/>
    <w:rsid w:val="00A96902"/>
    <w:rsid w:val="00AA1660"/>
    <w:rsid w:val="00AA36FF"/>
    <w:rsid w:val="00AA70F4"/>
    <w:rsid w:val="00AB09E3"/>
    <w:rsid w:val="00AB2A55"/>
    <w:rsid w:val="00AB51D2"/>
    <w:rsid w:val="00AB5CDF"/>
    <w:rsid w:val="00AB5E9C"/>
    <w:rsid w:val="00AB76FD"/>
    <w:rsid w:val="00AC02D0"/>
    <w:rsid w:val="00AD1F74"/>
    <w:rsid w:val="00AE089E"/>
    <w:rsid w:val="00AE6B82"/>
    <w:rsid w:val="00AF0736"/>
    <w:rsid w:val="00AF48FA"/>
    <w:rsid w:val="00B00141"/>
    <w:rsid w:val="00B027A2"/>
    <w:rsid w:val="00B037B8"/>
    <w:rsid w:val="00B049CF"/>
    <w:rsid w:val="00B06012"/>
    <w:rsid w:val="00B07514"/>
    <w:rsid w:val="00B2049E"/>
    <w:rsid w:val="00B21A77"/>
    <w:rsid w:val="00B22A61"/>
    <w:rsid w:val="00B22EE6"/>
    <w:rsid w:val="00B26262"/>
    <w:rsid w:val="00B279F1"/>
    <w:rsid w:val="00B34072"/>
    <w:rsid w:val="00B400EB"/>
    <w:rsid w:val="00B40198"/>
    <w:rsid w:val="00B4281D"/>
    <w:rsid w:val="00B45DAC"/>
    <w:rsid w:val="00B45DD4"/>
    <w:rsid w:val="00B52DA3"/>
    <w:rsid w:val="00B5742F"/>
    <w:rsid w:val="00B60E8D"/>
    <w:rsid w:val="00B61700"/>
    <w:rsid w:val="00B705F9"/>
    <w:rsid w:val="00B72DEC"/>
    <w:rsid w:val="00B77D20"/>
    <w:rsid w:val="00B816A2"/>
    <w:rsid w:val="00B82B02"/>
    <w:rsid w:val="00B87C08"/>
    <w:rsid w:val="00B907BC"/>
    <w:rsid w:val="00B911D8"/>
    <w:rsid w:val="00B92E35"/>
    <w:rsid w:val="00B944E6"/>
    <w:rsid w:val="00B94AEA"/>
    <w:rsid w:val="00B95E4D"/>
    <w:rsid w:val="00BA0362"/>
    <w:rsid w:val="00BA080A"/>
    <w:rsid w:val="00BA0C5F"/>
    <w:rsid w:val="00BA2065"/>
    <w:rsid w:val="00BA3041"/>
    <w:rsid w:val="00BC0E19"/>
    <w:rsid w:val="00BC2242"/>
    <w:rsid w:val="00BE01A7"/>
    <w:rsid w:val="00BE4AAA"/>
    <w:rsid w:val="00BF3D35"/>
    <w:rsid w:val="00BF3D71"/>
    <w:rsid w:val="00BF457B"/>
    <w:rsid w:val="00BF5738"/>
    <w:rsid w:val="00C03737"/>
    <w:rsid w:val="00C04579"/>
    <w:rsid w:val="00C04BAF"/>
    <w:rsid w:val="00C05966"/>
    <w:rsid w:val="00C06FA4"/>
    <w:rsid w:val="00C10AF9"/>
    <w:rsid w:val="00C10CF8"/>
    <w:rsid w:val="00C1205F"/>
    <w:rsid w:val="00C1388A"/>
    <w:rsid w:val="00C214A6"/>
    <w:rsid w:val="00C2367F"/>
    <w:rsid w:val="00C25C77"/>
    <w:rsid w:val="00C26A9F"/>
    <w:rsid w:val="00C27079"/>
    <w:rsid w:val="00C27C2E"/>
    <w:rsid w:val="00C3075D"/>
    <w:rsid w:val="00C30A9C"/>
    <w:rsid w:val="00C37AE9"/>
    <w:rsid w:val="00C37C2E"/>
    <w:rsid w:val="00C41A50"/>
    <w:rsid w:val="00C45BC5"/>
    <w:rsid w:val="00C505B3"/>
    <w:rsid w:val="00C56665"/>
    <w:rsid w:val="00C5691D"/>
    <w:rsid w:val="00C63A82"/>
    <w:rsid w:val="00C71B59"/>
    <w:rsid w:val="00C8266A"/>
    <w:rsid w:val="00C95EF4"/>
    <w:rsid w:val="00C976B6"/>
    <w:rsid w:val="00CA0CB2"/>
    <w:rsid w:val="00CA0D8A"/>
    <w:rsid w:val="00CA115D"/>
    <w:rsid w:val="00CA1DA8"/>
    <w:rsid w:val="00CB2423"/>
    <w:rsid w:val="00CB298E"/>
    <w:rsid w:val="00CB559F"/>
    <w:rsid w:val="00CC0536"/>
    <w:rsid w:val="00CC1FED"/>
    <w:rsid w:val="00CD4A9F"/>
    <w:rsid w:val="00CE17C6"/>
    <w:rsid w:val="00CE6A39"/>
    <w:rsid w:val="00D04B48"/>
    <w:rsid w:val="00D04D9D"/>
    <w:rsid w:val="00D1460C"/>
    <w:rsid w:val="00D16CC4"/>
    <w:rsid w:val="00D20781"/>
    <w:rsid w:val="00D21220"/>
    <w:rsid w:val="00D231DE"/>
    <w:rsid w:val="00D25A6C"/>
    <w:rsid w:val="00D30537"/>
    <w:rsid w:val="00D44411"/>
    <w:rsid w:val="00D452B9"/>
    <w:rsid w:val="00D453EA"/>
    <w:rsid w:val="00D533BC"/>
    <w:rsid w:val="00D57477"/>
    <w:rsid w:val="00D57CFC"/>
    <w:rsid w:val="00D67F65"/>
    <w:rsid w:val="00D7013E"/>
    <w:rsid w:val="00D76A00"/>
    <w:rsid w:val="00D86D9F"/>
    <w:rsid w:val="00D91F13"/>
    <w:rsid w:val="00D9405B"/>
    <w:rsid w:val="00DA0FF6"/>
    <w:rsid w:val="00DA111D"/>
    <w:rsid w:val="00DA460F"/>
    <w:rsid w:val="00DA64B5"/>
    <w:rsid w:val="00DB091B"/>
    <w:rsid w:val="00DB1BC1"/>
    <w:rsid w:val="00DB3DE1"/>
    <w:rsid w:val="00DB4C66"/>
    <w:rsid w:val="00DC1349"/>
    <w:rsid w:val="00DD451E"/>
    <w:rsid w:val="00DD5853"/>
    <w:rsid w:val="00DE4641"/>
    <w:rsid w:val="00DF202E"/>
    <w:rsid w:val="00DF7FBA"/>
    <w:rsid w:val="00E01E6D"/>
    <w:rsid w:val="00E10E00"/>
    <w:rsid w:val="00E11AA8"/>
    <w:rsid w:val="00E20856"/>
    <w:rsid w:val="00E23726"/>
    <w:rsid w:val="00E27D61"/>
    <w:rsid w:val="00E30649"/>
    <w:rsid w:val="00E34B33"/>
    <w:rsid w:val="00E34DA6"/>
    <w:rsid w:val="00E4367B"/>
    <w:rsid w:val="00E440E6"/>
    <w:rsid w:val="00E52A12"/>
    <w:rsid w:val="00E5629C"/>
    <w:rsid w:val="00E708C7"/>
    <w:rsid w:val="00E81A0B"/>
    <w:rsid w:val="00E822CB"/>
    <w:rsid w:val="00E84EAB"/>
    <w:rsid w:val="00E85E2B"/>
    <w:rsid w:val="00E87A8B"/>
    <w:rsid w:val="00EA40C5"/>
    <w:rsid w:val="00EB0991"/>
    <w:rsid w:val="00EB4B40"/>
    <w:rsid w:val="00EB5384"/>
    <w:rsid w:val="00EC278C"/>
    <w:rsid w:val="00EC3AE2"/>
    <w:rsid w:val="00EC4575"/>
    <w:rsid w:val="00EC6E5F"/>
    <w:rsid w:val="00ED1ADC"/>
    <w:rsid w:val="00ED40D3"/>
    <w:rsid w:val="00EE0C83"/>
    <w:rsid w:val="00EE4166"/>
    <w:rsid w:val="00EE781C"/>
    <w:rsid w:val="00EE7BA0"/>
    <w:rsid w:val="00EF5008"/>
    <w:rsid w:val="00F01DDB"/>
    <w:rsid w:val="00F0378E"/>
    <w:rsid w:val="00F0732C"/>
    <w:rsid w:val="00F10F56"/>
    <w:rsid w:val="00F11550"/>
    <w:rsid w:val="00F11553"/>
    <w:rsid w:val="00F13C1B"/>
    <w:rsid w:val="00F22929"/>
    <w:rsid w:val="00F2339A"/>
    <w:rsid w:val="00F310B9"/>
    <w:rsid w:val="00F40F0A"/>
    <w:rsid w:val="00F41727"/>
    <w:rsid w:val="00F51423"/>
    <w:rsid w:val="00F5522B"/>
    <w:rsid w:val="00F618A9"/>
    <w:rsid w:val="00F63795"/>
    <w:rsid w:val="00F65753"/>
    <w:rsid w:val="00F65D36"/>
    <w:rsid w:val="00F65E8F"/>
    <w:rsid w:val="00F702EA"/>
    <w:rsid w:val="00F75B8D"/>
    <w:rsid w:val="00F82964"/>
    <w:rsid w:val="00F836C0"/>
    <w:rsid w:val="00F90FD9"/>
    <w:rsid w:val="00F91850"/>
    <w:rsid w:val="00F942F5"/>
    <w:rsid w:val="00F9434F"/>
    <w:rsid w:val="00F96289"/>
    <w:rsid w:val="00F96576"/>
    <w:rsid w:val="00FA0D5A"/>
    <w:rsid w:val="00FA46AC"/>
    <w:rsid w:val="00FA667A"/>
    <w:rsid w:val="00FA742C"/>
    <w:rsid w:val="00FB5C12"/>
    <w:rsid w:val="00FB70C8"/>
    <w:rsid w:val="00FC108B"/>
    <w:rsid w:val="00FC3AD8"/>
    <w:rsid w:val="00FC5140"/>
    <w:rsid w:val="00FC6F32"/>
    <w:rsid w:val="00FD1035"/>
    <w:rsid w:val="00FD1602"/>
    <w:rsid w:val="00FD2EC1"/>
    <w:rsid w:val="00FD6558"/>
    <w:rsid w:val="00FD65CE"/>
    <w:rsid w:val="00FE2FE4"/>
    <w:rsid w:val="00FE3D4F"/>
    <w:rsid w:val="00FF0F16"/>
    <w:rsid w:val="00FF258E"/>
    <w:rsid w:val="00FF2F20"/>
    <w:rsid w:val="00FF6387"/>
    <w:rsid w:val="00FF7E3D"/>
    <w:rsid w:val="272F0015"/>
    <w:rsid w:val="37721F4D"/>
    <w:rsid w:val="5F8A2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eastAsia="宋体" w:cs="Times New Roman"/>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Hyperlink"/>
    <w:basedOn w:val="8"/>
    <w:unhideWhenUsed/>
    <w:uiPriority w:val="99"/>
    <w:rPr>
      <w:color w:val="0000FF" w:themeColor="hyperlink"/>
      <w:u w:val="single"/>
      <w14:textFill>
        <w14:solidFill>
          <w14:schemeClr w14:val="hlink"/>
        </w14:solidFill>
      </w14:textFill>
    </w:rPr>
  </w:style>
  <w:style w:type="paragraph" w:styleId="10">
    <w:name w:val="List Paragraph"/>
    <w:basedOn w:val="1"/>
    <w:qFormat/>
    <w:uiPriority w:val="34"/>
    <w:pPr>
      <w:ind w:firstLine="420" w:firstLineChars="200"/>
    </w:pPr>
  </w:style>
  <w:style w:type="character" w:customStyle="1" w:styleId="11">
    <w:name w:val="批注框文本 字符"/>
    <w:basedOn w:val="8"/>
    <w:link w:val="2"/>
    <w:semiHidden/>
    <w:uiPriority w:val="99"/>
    <w:rPr>
      <w:sz w:val="18"/>
      <w:szCs w:val="18"/>
    </w:rPr>
  </w:style>
  <w:style w:type="character" w:customStyle="1" w:styleId="12">
    <w:name w:val="页眉 字符"/>
    <w:basedOn w:val="8"/>
    <w:link w:val="4"/>
    <w:qFormat/>
    <w:uiPriority w:val="99"/>
    <w:rPr>
      <w:sz w:val="18"/>
      <w:szCs w:val="18"/>
    </w:rPr>
  </w:style>
  <w:style w:type="character" w:customStyle="1" w:styleId="13">
    <w:name w:val="页脚 字符"/>
    <w:basedOn w:val="8"/>
    <w:link w:val="3"/>
    <w:uiPriority w:val="99"/>
    <w:rPr>
      <w:sz w:val="18"/>
      <w:szCs w:val="18"/>
    </w:rPr>
  </w:style>
  <w:style w:type="character" w:customStyle="1" w:styleId="14">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04D7D5-B481-4FE5-856C-559C3800C9B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719</Words>
  <Characters>4102</Characters>
  <Lines>34</Lines>
  <Paragraphs>9</Paragraphs>
  <TotalTime>8043</TotalTime>
  <ScaleCrop>false</ScaleCrop>
  <LinksUpToDate>false</LinksUpToDate>
  <CharactersWithSpaces>4812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2018-06-22T08:08:00Z</dcterms:created>
  <dc:creator>sc</dc:creator>
  <cp:lastModifiedBy>朱PY</cp:lastModifiedBy>
  <cp:lastPrinted>2020-01-06T00:37:00Z</cp:lastPrinted>
  <dcterms:modified xsi:type="dcterms:W3CDTF">2020-01-08T02:33:30Z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